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9458" w14:textId="36116E26" w:rsidR="00D379A3" w:rsidRDefault="002C313E" w:rsidP="00A7178D">
      <w:pPr>
        <w:jc w:val="both"/>
      </w:pPr>
      <w:bookmarkStart w:id="0" w:name="_GoBack"/>
      <w:bookmarkEnd w:id="0"/>
      <w:r>
        <w:t>Zarośnięcie przełyku</w:t>
      </w:r>
      <w:r w:rsidR="00B856BF">
        <w:t xml:space="preserve"> </w:t>
      </w:r>
      <w:r>
        <w:t>- materiały informacyjne:</w:t>
      </w:r>
    </w:p>
    <w:p w14:paraId="63BABC07" w14:textId="7B552959" w:rsidR="009B1A1C" w:rsidRDefault="009B1A1C" w:rsidP="00A7178D">
      <w:pPr>
        <w:jc w:val="both"/>
      </w:pPr>
      <w:r w:rsidRPr="009B1A1C">
        <w:rPr>
          <w:color w:val="FF0000"/>
        </w:rPr>
        <w:t>Definicja i epidemiologia:</w:t>
      </w:r>
    </w:p>
    <w:p w14:paraId="18E2DAB3" w14:textId="033634D2" w:rsidR="002C313E" w:rsidRDefault="00DE3032" w:rsidP="00A7178D">
      <w:pPr>
        <w:jc w:val="both"/>
      </w:pPr>
      <w:r>
        <w:t>Wrodzone zarośni</w:t>
      </w:r>
      <w:r w:rsidR="001F1FF9">
        <w:t>ę</w:t>
      </w:r>
      <w:r>
        <w:t xml:space="preserve">cie przełyku (nazywane też czasami niepoprawnie jako atrezja przełyku) jest </w:t>
      </w:r>
      <w:r w:rsidR="00EF1CE6">
        <w:t xml:space="preserve">rzadką </w:t>
      </w:r>
      <w:r>
        <w:t xml:space="preserve">wrodzoną wadą rozwojową górnej części przewodu pokarmowego, </w:t>
      </w:r>
      <w:r w:rsidR="00EF1CE6">
        <w:t>w której</w:t>
      </w:r>
      <w:r>
        <w:t xml:space="preserve"> </w:t>
      </w:r>
      <w:r w:rsidR="00EF1CE6">
        <w:t>stwierdza się brak anatomicznej ciągłości przełyku</w:t>
      </w:r>
      <w:r>
        <w:t xml:space="preserve">. W większości </w:t>
      </w:r>
      <w:r w:rsidR="00D1472B">
        <w:t>przypadków zarośnięciu przełyku towarzyszy przetoka przełykowo-tchawicza</w:t>
      </w:r>
      <w:r w:rsidR="00EF1CE6">
        <w:t xml:space="preserve"> (w około 93-94% przypadków)</w:t>
      </w:r>
      <w:r w:rsidR="00D1472B">
        <w:t>. Częstość występowania wady wynosi około 1</w:t>
      </w:r>
      <w:r w:rsidR="00EF1CE6">
        <w:t>,27-4,55</w:t>
      </w:r>
      <w:r w:rsidR="00D1472B">
        <w:t xml:space="preserve"> przypad</w:t>
      </w:r>
      <w:r w:rsidR="005C1F05">
        <w:t>ków</w:t>
      </w:r>
      <w:r w:rsidR="00D1472B">
        <w:t xml:space="preserve"> na </w:t>
      </w:r>
      <w:r w:rsidR="00EF1CE6">
        <w:t>10000</w:t>
      </w:r>
      <w:r w:rsidR="00746D36">
        <w:t xml:space="preserve"> żywo urodzonych noworodków</w:t>
      </w:r>
      <w:r w:rsidR="00EF1CE6">
        <w:t xml:space="preserve"> (wg danych zebranych z 23 krajów europejskich przez międzynarodową organizację EUROCAT w latach 1987 – 2006)</w:t>
      </w:r>
      <w:r w:rsidR="00E3268A">
        <w:t>, częściej występuje u</w:t>
      </w:r>
      <w:r w:rsidR="00EF1CE6">
        <w:t xml:space="preserve"> chłopców (53%:47%),</w:t>
      </w:r>
      <w:r w:rsidR="00E3268A">
        <w:t xml:space="preserve"> przedstawicieli rasy białej, u dzieci pierworódek, a także starszych matek</w:t>
      </w:r>
      <w:r w:rsidR="005C1F05">
        <w:t xml:space="preserve"> </w:t>
      </w:r>
      <w:r w:rsidR="00E3268A">
        <w:t xml:space="preserve">- prawdopodobieństwo wystąpienia wady wzrasta 2-krotnie w przypadku matek 35-40 letnich, ponad 3- krotnie w przypadku jeszcze starszych kobiet. </w:t>
      </w:r>
      <w:r w:rsidR="001B30F6">
        <w:t xml:space="preserve">U około 1% pacjentów wada występuje rodzinnie, 2-3 razy częściej u bliźniąt jednojajowych, a ryzyko powtórzenia w kolejnych pokoleniach wynosi około 0,5-3%. </w:t>
      </w:r>
      <w:r w:rsidR="00E3268A">
        <w:t>Zauważono również zróżnicowanie geograficzne</w:t>
      </w:r>
      <w:r w:rsidR="007833E6">
        <w:t xml:space="preserve"> </w:t>
      </w:r>
      <w:r w:rsidR="00E3268A">
        <w:t xml:space="preserve">- zarośnięcie przełyku częściej występuje np. w Finlandii, natomiast rzadziej w Australii, czy w USA. </w:t>
      </w:r>
    </w:p>
    <w:p w14:paraId="447DF77D" w14:textId="77777777" w:rsidR="009B1A1C" w:rsidRDefault="009B1A1C" w:rsidP="00A7178D">
      <w:pPr>
        <w:jc w:val="both"/>
      </w:pPr>
    </w:p>
    <w:p w14:paraId="0844CAE9" w14:textId="43198130" w:rsidR="009B1A1C" w:rsidRDefault="009B1A1C" w:rsidP="00A7178D">
      <w:pPr>
        <w:jc w:val="both"/>
      </w:pPr>
      <w:r w:rsidRPr="009B1A1C">
        <w:rPr>
          <w:color w:val="FF0000"/>
        </w:rPr>
        <w:t>Klasyfikacja:</w:t>
      </w:r>
      <w:r w:rsidR="008B4486">
        <w:tab/>
      </w:r>
    </w:p>
    <w:p w14:paraId="51ECB9B3" w14:textId="52290D28" w:rsidR="008B4486" w:rsidRDefault="008B4486" w:rsidP="00A7178D">
      <w:pPr>
        <w:jc w:val="both"/>
      </w:pPr>
      <w:r>
        <w:t xml:space="preserve">Istnieje kilka klasyfikacji wady, z których najpopularniejsza jest klasyfikacja wg </w:t>
      </w:r>
      <w:proofErr w:type="spellStart"/>
      <w:r>
        <w:t>Ladda</w:t>
      </w:r>
      <w:proofErr w:type="spellEnd"/>
      <w:r>
        <w:t xml:space="preserve"> i Grossa oraz podział rokowniczy wrodzonego zarośnięcia </w:t>
      </w:r>
      <w:r w:rsidR="001B30F6">
        <w:t xml:space="preserve">przełyku wg </w:t>
      </w:r>
      <w:proofErr w:type="spellStart"/>
      <w:r w:rsidR="001B30F6">
        <w:t>Watersona</w:t>
      </w:r>
      <w:proofErr w:type="spellEnd"/>
      <w:r w:rsidR="001B30F6">
        <w:t xml:space="preserve"> oraz wg Spitza.</w:t>
      </w:r>
    </w:p>
    <w:p w14:paraId="019CFC78" w14:textId="77777777" w:rsidR="008B4486" w:rsidRDefault="008B4486" w:rsidP="00A7178D">
      <w:pPr>
        <w:jc w:val="both"/>
      </w:pPr>
    </w:p>
    <w:p w14:paraId="7E8E4568" w14:textId="77777777" w:rsidR="008B4486" w:rsidRDefault="008B4486" w:rsidP="00A7178D">
      <w:pPr>
        <w:jc w:val="both"/>
      </w:pPr>
      <w:r>
        <w:rPr>
          <w:rFonts w:ascii="Helvetica" w:hAnsi="Helvetica" w:cs="Helvetica"/>
          <w:noProof/>
          <w:lang w:eastAsia="pl-PL"/>
        </w:rPr>
        <w:drawing>
          <wp:inline distT="0" distB="0" distL="0" distR="0" wp14:anchorId="1542F957" wp14:editId="45644DF4">
            <wp:extent cx="5756910" cy="359854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9A15E" w14:textId="77777777" w:rsidR="008B4486" w:rsidRDefault="008B4486" w:rsidP="00A7178D">
      <w:pPr>
        <w:jc w:val="both"/>
      </w:pPr>
      <w:r>
        <w:t xml:space="preserve">ryc. 1. Klasyfikacja zarośnięcia przełyku wg </w:t>
      </w:r>
      <w:proofErr w:type="spellStart"/>
      <w:r>
        <w:t>Ladda</w:t>
      </w:r>
      <w:proofErr w:type="spellEnd"/>
      <w:r>
        <w:t xml:space="preserve"> i Grossa</w:t>
      </w:r>
    </w:p>
    <w:p w14:paraId="13805876" w14:textId="77777777" w:rsidR="001B30F6" w:rsidRDefault="001B30F6" w:rsidP="00A7178D">
      <w:pPr>
        <w:jc w:val="both"/>
      </w:pPr>
    </w:p>
    <w:p w14:paraId="3DCE5B05" w14:textId="26FA7D67" w:rsidR="001B30F6" w:rsidRDefault="001B30F6" w:rsidP="00A7178D">
      <w:pPr>
        <w:jc w:val="both"/>
      </w:pPr>
      <w:r>
        <w:t>Najczęstszą postacią wrodzonego zarośnięcia przełyku jest typ C (zarośniecie przełyku z przetoką przełykowo-</w:t>
      </w:r>
      <w:proofErr w:type="spellStart"/>
      <w:r>
        <w:t>tchawiczą</w:t>
      </w:r>
      <w:proofErr w:type="spellEnd"/>
      <w:r>
        <w:t xml:space="preserve"> dolną, która występuje u około 86% pacjentów</w:t>
      </w:r>
      <w:r w:rsidR="004D23CE">
        <w:t>)</w:t>
      </w:r>
      <w:r>
        <w:t>. Typ A i B występują w około 8%, a typ D</w:t>
      </w:r>
      <w:r w:rsidR="004D23CE">
        <w:t xml:space="preserve"> </w:t>
      </w:r>
      <w:r>
        <w:t xml:space="preserve">- u około 1% przypadków. </w:t>
      </w:r>
      <w:r w:rsidR="008E5D73">
        <w:t xml:space="preserve">Szczególną postacią wrodzonego zarośnięcia przełyku jest typ </w:t>
      </w:r>
      <w:r w:rsidR="003C1DF7">
        <w:t>F</w:t>
      </w:r>
      <w:r w:rsidR="008E5D73">
        <w:t>, nie ujęty na powyższej rycinie, w którym ciągłość przełyku jest zachowana</w:t>
      </w:r>
      <w:r w:rsidR="003C1DF7">
        <w:t>, a</w:t>
      </w:r>
      <w:r w:rsidR="008E5D73">
        <w:t xml:space="preserve"> </w:t>
      </w:r>
      <w:r w:rsidR="00BB0485">
        <w:t>występuje jedynie wrodzone zwężenie przełyku.</w:t>
      </w:r>
    </w:p>
    <w:p w14:paraId="3086927A" w14:textId="7A959356" w:rsidR="00BB0485" w:rsidRDefault="00BB0485" w:rsidP="00A7178D">
      <w:pPr>
        <w:jc w:val="both"/>
      </w:pPr>
      <w:r>
        <w:lastRenderedPageBreak/>
        <w:t>Klasyfikacje rokownicze</w:t>
      </w:r>
      <w:r w:rsidR="00601443">
        <w:t xml:space="preserve"> wg </w:t>
      </w:r>
      <w:proofErr w:type="spellStart"/>
      <w:r w:rsidR="00601443">
        <w:t>Watresona</w:t>
      </w:r>
      <w:proofErr w:type="spellEnd"/>
      <w:r w:rsidR="00601443">
        <w:t xml:space="preserve"> (z roku 1962),</w:t>
      </w:r>
      <w:r>
        <w:t xml:space="preserve"> Spitza (z roku 1994) </w:t>
      </w:r>
      <w:r w:rsidR="00601443">
        <w:t xml:space="preserve">oraz modyfikacja tej ostatniej dokonana przez lekarzy z Kobe i Nagano (z roku 2009) </w:t>
      </w:r>
      <w:r>
        <w:t>obrazują przeżywalność pacjentów z wrodzonym zarośnięciem przełyku w zależności od masy ciała i dodatkowych wad wrodzonych.</w:t>
      </w:r>
    </w:p>
    <w:p w14:paraId="35AE2CFC" w14:textId="77777777" w:rsidR="00BB0485" w:rsidRDefault="00BB0485" w:rsidP="00A7178D">
      <w:pPr>
        <w:jc w:val="both"/>
      </w:pPr>
    </w:p>
    <w:p w14:paraId="76009124" w14:textId="77777777" w:rsidR="00BB0485" w:rsidRDefault="00BB0485" w:rsidP="00A7178D">
      <w:pPr>
        <w:jc w:val="both"/>
      </w:pPr>
    </w:p>
    <w:tbl>
      <w:tblPr>
        <w:tblStyle w:val="Tabela-Siatka"/>
        <w:tblW w:w="9099" w:type="dxa"/>
        <w:tblLook w:val="04A0" w:firstRow="1" w:lastRow="0" w:firstColumn="1" w:lastColumn="0" w:noHBand="0" w:noVBand="1"/>
      </w:tblPr>
      <w:tblGrid>
        <w:gridCol w:w="1134"/>
        <w:gridCol w:w="2564"/>
        <w:gridCol w:w="5401"/>
      </w:tblGrid>
      <w:tr w:rsidR="00BB0485" w14:paraId="014BD316" w14:textId="77777777" w:rsidTr="00BB0485">
        <w:trPr>
          <w:trHeight w:val="248"/>
        </w:trPr>
        <w:tc>
          <w:tcPr>
            <w:tcW w:w="1134" w:type="dxa"/>
          </w:tcPr>
          <w:p w14:paraId="0ECD0ADE" w14:textId="77777777" w:rsidR="00BB0485" w:rsidRDefault="00BB0485" w:rsidP="00A7178D">
            <w:pPr>
              <w:jc w:val="both"/>
            </w:pPr>
            <w:r>
              <w:t>Grupa</w:t>
            </w:r>
          </w:p>
        </w:tc>
        <w:tc>
          <w:tcPr>
            <w:tcW w:w="2564" w:type="dxa"/>
          </w:tcPr>
          <w:p w14:paraId="6B2692A1" w14:textId="77777777" w:rsidR="00BB0485" w:rsidRDefault="00BB0485" w:rsidP="00A7178D">
            <w:pPr>
              <w:jc w:val="both"/>
            </w:pPr>
            <w:r>
              <w:t>Rokowanie (% przeżyć)</w:t>
            </w:r>
          </w:p>
        </w:tc>
        <w:tc>
          <w:tcPr>
            <w:tcW w:w="5401" w:type="dxa"/>
          </w:tcPr>
          <w:p w14:paraId="41D41C3B" w14:textId="77777777" w:rsidR="00BB0485" w:rsidRDefault="00BB0485" w:rsidP="00A7178D">
            <w:pPr>
              <w:jc w:val="both"/>
            </w:pPr>
            <w:r>
              <w:t>Definicja</w:t>
            </w:r>
          </w:p>
        </w:tc>
      </w:tr>
      <w:tr w:rsidR="00BB0485" w14:paraId="0D5080E1" w14:textId="77777777" w:rsidTr="00BB0485">
        <w:trPr>
          <w:trHeight w:val="239"/>
        </w:trPr>
        <w:tc>
          <w:tcPr>
            <w:tcW w:w="1134" w:type="dxa"/>
          </w:tcPr>
          <w:p w14:paraId="54EDA9B0" w14:textId="77777777" w:rsidR="00BB0485" w:rsidRDefault="00BB0485" w:rsidP="00A7178D">
            <w:pPr>
              <w:jc w:val="both"/>
            </w:pPr>
            <w:r>
              <w:t>A</w:t>
            </w:r>
          </w:p>
        </w:tc>
        <w:tc>
          <w:tcPr>
            <w:tcW w:w="2564" w:type="dxa"/>
          </w:tcPr>
          <w:p w14:paraId="3C93B5B5" w14:textId="77777777" w:rsidR="00BB0485" w:rsidRDefault="00BB0485" w:rsidP="00A7178D">
            <w:pPr>
              <w:jc w:val="both"/>
            </w:pPr>
            <w:r>
              <w:t>100</w:t>
            </w:r>
          </w:p>
        </w:tc>
        <w:tc>
          <w:tcPr>
            <w:tcW w:w="5401" w:type="dxa"/>
          </w:tcPr>
          <w:p w14:paraId="09AEADDC" w14:textId="77777777" w:rsidR="00BB0485" w:rsidRPr="00BB0485" w:rsidRDefault="00BB0485" w:rsidP="00A7178D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BB0485">
              <w:rPr>
                <w:rFonts w:asciiTheme="minorHAnsi" w:hAnsiTheme="minorHAnsi"/>
              </w:rPr>
              <w:t xml:space="preserve">masa urodzeniowa &gt; 2,5 kg, bez wad towarzyszących </w:t>
            </w:r>
          </w:p>
        </w:tc>
      </w:tr>
      <w:tr w:rsidR="00BB0485" w14:paraId="7C8DE5A0" w14:textId="77777777" w:rsidTr="00BB0485">
        <w:trPr>
          <w:trHeight w:val="998"/>
        </w:trPr>
        <w:tc>
          <w:tcPr>
            <w:tcW w:w="1134" w:type="dxa"/>
          </w:tcPr>
          <w:p w14:paraId="646CF4CE" w14:textId="77777777" w:rsidR="00BB0485" w:rsidRDefault="00BB0485" w:rsidP="00A7178D">
            <w:pPr>
              <w:jc w:val="both"/>
            </w:pPr>
            <w:r>
              <w:t>B</w:t>
            </w:r>
          </w:p>
        </w:tc>
        <w:tc>
          <w:tcPr>
            <w:tcW w:w="2564" w:type="dxa"/>
          </w:tcPr>
          <w:p w14:paraId="42F85E19" w14:textId="77777777" w:rsidR="00BB0485" w:rsidRDefault="00BB0485" w:rsidP="00A7178D">
            <w:pPr>
              <w:jc w:val="both"/>
            </w:pPr>
            <w:r>
              <w:t>85</w:t>
            </w:r>
          </w:p>
        </w:tc>
        <w:tc>
          <w:tcPr>
            <w:tcW w:w="5401" w:type="dxa"/>
          </w:tcPr>
          <w:p w14:paraId="4D3EC810" w14:textId="77777777" w:rsidR="00BB0485" w:rsidRPr="00BB0485" w:rsidRDefault="00BB0485" w:rsidP="00A7178D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BB0485">
              <w:rPr>
                <w:rFonts w:asciiTheme="minorHAnsi" w:hAnsiTheme="minorHAnsi"/>
              </w:rPr>
              <w:t>masa urodzeniowa 2-2,5 kg bez wad towarzyszących</w:t>
            </w:r>
            <w:r w:rsidRPr="00BB0485">
              <w:rPr>
                <w:rFonts w:asciiTheme="minorHAnsi" w:hAnsiTheme="minorHAnsi"/>
              </w:rPr>
              <w:br/>
              <w:t xml:space="preserve">masa </w:t>
            </w:r>
            <w:r>
              <w:rPr>
                <w:rFonts w:asciiTheme="minorHAnsi" w:hAnsiTheme="minorHAnsi"/>
              </w:rPr>
              <w:t xml:space="preserve">urodzeniowa &gt; 2,5 kg i </w:t>
            </w:r>
            <w:proofErr w:type="spellStart"/>
            <w:r>
              <w:rPr>
                <w:rFonts w:asciiTheme="minorHAnsi" w:hAnsiTheme="minorHAnsi"/>
              </w:rPr>
              <w:t>średnio</w:t>
            </w:r>
            <w:r w:rsidRPr="00BB0485">
              <w:rPr>
                <w:rFonts w:asciiTheme="minorHAnsi" w:hAnsiTheme="minorHAnsi"/>
              </w:rPr>
              <w:t>ciężkie</w:t>
            </w:r>
            <w:proofErr w:type="spellEnd"/>
            <w:r w:rsidRPr="00BB0485">
              <w:rPr>
                <w:rFonts w:asciiTheme="minorHAnsi" w:hAnsiTheme="minorHAnsi"/>
              </w:rPr>
              <w:t xml:space="preserve"> wady towarzyszące (automatycznie wykluczone </w:t>
            </w:r>
            <w:proofErr w:type="spellStart"/>
            <w:r w:rsidRPr="00BB0485">
              <w:rPr>
                <w:rFonts w:asciiTheme="minorHAnsi" w:hAnsiTheme="minorHAnsi"/>
              </w:rPr>
              <w:t>sa</w:t>
            </w:r>
            <w:proofErr w:type="spellEnd"/>
            <w:r w:rsidRPr="00BB0485">
              <w:rPr>
                <w:rFonts w:asciiTheme="minorHAnsi" w:hAnsiTheme="minorHAnsi"/>
              </w:rPr>
              <w:t>̨ wady serca z wyjątkie</w:t>
            </w:r>
            <w:r>
              <w:rPr>
                <w:rFonts w:asciiTheme="minorHAnsi" w:hAnsiTheme="minorHAnsi"/>
              </w:rPr>
              <w:t>m przetrwałego przewodu tętniczego, otworu w przegrodzie międzykomorowej, otworu w przegrodzie międzyprzedsionkowej</w:t>
            </w:r>
            <w:r w:rsidRPr="00BB0485">
              <w:rPr>
                <w:rFonts w:asciiTheme="minorHAnsi" w:hAnsiTheme="minorHAnsi"/>
              </w:rPr>
              <w:t xml:space="preserve">) </w:t>
            </w:r>
          </w:p>
        </w:tc>
      </w:tr>
      <w:tr w:rsidR="00BB0485" w14:paraId="141251F8" w14:textId="77777777" w:rsidTr="00BB0485">
        <w:trPr>
          <w:trHeight w:val="1205"/>
        </w:trPr>
        <w:tc>
          <w:tcPr>
            <w:tcW w:w="1134" w:type="dxa"/>
          </w:tcPr>
          <w:p w14:paraId="6AAF26D4" w14:textId="77777777" w:rsidR="00BB0485" w:rsidRDefault="00BB0485" w:rsidP="00A7178D">
            <w:pPr>
              <w:jc w:val="both"/>
            </w:pPr>
            <w:r>
              <w:t>C</w:t>
            </w:r>
          </w:p>
        </w:tc>
        <w:tc>
          <w:tcPr>
            <w:tcW w:w="2564" w:type="dxa"/>
          </w:tcPr>
          <w:p w14:paraId="5C718F05" w14:textId="77777777" w:rsidR="00BB0485" w:rsidRDefault="00BB0485" w:rsidP="00A7178D">
            <w:pPr>
              <w:jc w:val="both"/>
            </w:pPr>
            <w:r>
              <w:t>65</w:t>
            </w:r>
          </w:p>
        </w:tc>
        <w:tc>
          <w:tcPr>
            <w:tcW w:w="5401" w:type="dxa"/>
          </w:tcPr>
          <w:p w14:paraId="0B88A443" w14:textId="77777777" w:rsidR="00BB0485" w:rsidRPr="00BB0485" w:rsidRDefault="00BB0485" w:rsidP="00A7178D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BB0485">
              <w:rPr>
                <w:rFonts w:asciiTheme="minorHAnsi" w:hAnsiTheme="minorHAnsi"/>
              </w:rPr>
              <w:t>masa urodzeniowa &lt; 2 kg</w:t>
            </w:r>
            <w:r w:rsidRPr="00BB0485">
              <w:rPr>
                <w:rFonts w:asciiTheme="minorHAnsi" w:hAnsiTheme="minorHAnsi"/>
              </w:rPr>
              <w:br/>
              <w:t xml:space="preserve">masa urodzeniowa &gt; 2 kg wraz z wadą serca inną </w:t>
            </w:r>
            <w:proofErr w:type="spellStart"/>
            <w:r w:rsidRPr="00BB0485">
              <w:rPr>
                <w:rFonts w:asciiTheme="minorHAnsi" w:hAnsiTheme="minorHAnsi"/>
              </w:rPr>
              <w:t>niz</w:t>
            </w:r>
            <w:proofErr w:type="spellEnd"/>
            <w:r w:rsidRPr="00BB0485">
              <w:rPr>
                <w:rFonts w:asciiTheme="minorHAnsi" w:hAnsiTheme="minorHAnsi"/>
              </w:rPr>
              <w:t xml:space="preserve">̇ wymieniona powyżej </w:t>
            </w:r>
          </w:p>
        </w:tc>
      </w:tr>
    </w:tbl>
    <w:p w14:paraId="1DDF5057" w14:textId="77777777" w:rsidR="00BB0485" w:rsidRDefault="00BB0485" w:rsidP="00A7178D">
      <w:pPr>
        <w:jc w:val="both"/>
      </w:pPr>
      <w:r>
        <w:t xml:space="preserve">Ryc. 2. Klasyfikacja rokownicza wg </w:t>
      </w:r>
      <w:proofErr w:type="spellStart"/>
      <w:r>
        <w:t>Watersona</w:t>
      </w:r>
      <w:proofErr w:type="spellEnd"/>
    </w:p>
    <w:p w14:paraId="1B19EAC1" w14:textId="77777777" w:rsidR="002B6177" w:rsidRDefault="002B6177" w:rsidP="00A7178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4"/>
        <w:gridCol w:w="2552"/>
        <w:gridCol w:w="5340"/>
      </w:tblGrid>
      <w:tr w:rsidR="002B6177" w14:paraId="07D555F8" w14:textId="77777777" w:rsidTr="002B6177">
        <w:tc>
          <w:tcPr>
            <w:tcW w:w="1164" w:type="dxa"/>
          </w:tcPr>
          <w:p w14:paraId="4C4FBD16" w14:textId="77777777" w:rsidR="002B6177" w:rsidRDefault="002B6177" w:rsidP="00A7178D">
            <w:pPr>
              <w:jc w:val="both"/>
            </w:pPr>
            <w:r>
              <w:t>Grupa</w:t>
            </w:r>
          </w:p>
        </w:tc>
        <w:tc>
          <w:tcPr>
            <w:tcW w:w="2552" w:type="dxa"/>
          </w:tcPr>
          <w:p w14:paraId="2A15E011" w14:textId="77777777" w:rsidR="002B6177" w:rsidRDefault="002B6177" w:rsidP="00A7178D">
            <w:pPr>
              <w:jc w:val="both"/>
            </w:pPr>
            <w:r>
              <w:t>Rokowanie (% przeżyć)</w:t>
            </w:r>
          </w:p>
        </w:tc>
        <w:tc>
          <w:tcPr>
            <w:tcW w:w="5340" w:type="dxa"/>
          </w:tcPr>
          <w:p w14:paraId="2441B54F" w14:textId="77777777" w:rsidR="002B6177" w:rsidRDefault="002B6177" w:rsidP="00A7178D">
            <w:pPr>
              <w:jc w:val="both"/>
            </w:pPr>
            <w:r>
              <w:t>Definicja</w:t>
            </w:r>
          </w:p>
        </w:tc>
      </w:tr>
      <w:tr w:rsidR="002B6177" w14:paraId="454EEE92" w14:textId="77777777" w:rsidTr="002B6177">
        <w:tc>
          <w:tcPr>
            <w:tcW w:w="1164" w:type="dxa"/>
          </w:tcPr>
          <w:p w14:paraId="1E4FBC66" w14:textId="77777777" w:rsidR="002B6177" w:rsidRDefault="002B6177" w:rsidP="00A7178D">
            <w:pPr>
              <w:jc w:val="both"/>
            </w:pPr>
            <w:r>
              <w:t>I</w:t>
            </w:r>
          </w:p>
        </w:tc>
        <w:tc>
          <w:tcPr>
            <w:tcW w:w="2552" w:type="dxa"/>
          </w:tcPr>
          <w:p w14:paraId="73FB5C75" w14:textId="77777777" w:rsidR="002B6177" w:rsidRDefault="002B6177" w:rsidP="00A7178D">
            <w:pPr>
              <w:jc w:val="both"/>
            </w:pPr>
            <w:r>
              <w:t>98</w:t>
            </w:r>
          </w:p>
        </w:tc>
        <w:tc>
          <w:tcPr>
            <w:tcW w:w="5340" w:type="dxa"/>
          </w:tcPr>
          <w:p w14:paraId="0D16F8AE" w14:textId="77777777" w:rsidR="002B6177" w:rsidRPr="002B6177" w:rsidRDefault="002B6177" w:rsidP="00A7178D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B6177">
              <w:rPr>
                <w:rFonts w:asciiTheme="minorHAnsi" w:hAnsiTheme="minorHAnsi"/>
              </w:rPr>
              <w:t xml:space="preserve">masa urodzeniowa &gt; 1500 g, bez </w:t>
            </w:r>
            <w:proofErr w:type="spellStart"/>
            <w:r w:rsidRPr="002B6177">
              <w:rPr>
                <w:rFonts w:asciiTheme="minorHAnsi" w:hAnsiTheme="minorHAnsi"/>
              </w:rPr>
              <w:t>dużych</w:t>
            </w:r>
            <w:proofErr w:type="spellEnd"/>
            <w:r w:rsidRPr="002B6177">
              <w:rPr>
                <w:rFonts w:asciiTheme="minorHAnsi" w:hAnsiTheme="minorHAnsi"/>
              </w:rPr>
              <w:t xml:space="preserve"> wad wrodzonych serca </w:t>
            </w:r>
          </w:p>
        </w:tc>
      </w:tr>
      <w:tr w:rsidR="002B6177" w14:paraId="1C835500" w14:textId="77777777" w:rsidTr="002B6177">
        <w:tc>
          <w:tcPr>
            <w:tcW w:w="1164" w:type="dxa"/>
          </w:tcPr>
          <w:p w14:paraId="00233C32" w14:textId="77777777" w:rsidR="002B6177" w:rsidRDefault="002B6177" w:rsidP="00A7178D">
            <w:pPr>
              <w:jc w:val="both"/>
            </w:pPr>
            <w:r>
              <w:t>II</w:t>
            </w:r>
          </w:p>
        </w:tc>
        <w:tc>
          <w:tcPr>
            <w:tcW w:w="2552" w:type="dxa"/>
          </w:tcPr>
          <w:p w14:paraId="62C905E1" w14:textId="77777777" w:rsidR="002B6177" w:rsidRDefault="002B6177" w:rsidP="00A7178D">
            <w:pPr>
              <w:jc w:val="both"/>
            </w:pPr>
            <w:r>
              <w:t>82</w:t>
            </w:r>
          </w:p>
        </w:tc>
        <w:tc>
          <w:tcPr>
            <w:tcW w:w="5340" w:type="dxa"/>
          </w:tcPr>
          <w:p w14:paraId="54F38006" w14:textId="77777777" w:rsidR="002B6177" w:rsidRPr="002B6177" w:rsidRDefault="002B6177" w:rsidP="00A7178D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B6177">
              <w:rPr>
                <w:rFonts w:asciiTheme="minorHAnsi" w:hAnsiTheme="minorHAnsi"/>
              </w:rPr>
              <w:t xml:space="preserve">masa urodzeniowa &lt; 1500 g lub </w:t>
            </w:r>
            <w:proofErr w:type="spellStart"/>
            <w:r w:rsidRPr="002B6177">
              <w:rPr>
                <w:rFonts w:asciiTheme="minorHAnsi" w:hAnsiTheme="minorHAnsi"/>
              </w:rPr>
              <w:t>duże</w:t>
            </w:r>
            <w:proofErr w:type="spellEnd"/>
            <w:r w:rsidRPr="002B6177">
              <w:rPr>
                <w:rFonts w:asciiTheme="minorHAnsi" w:hAnsiTheme="minorHAnsi"/>
              </w:rPr>
              <w:t xml:space="preserve"> wady wrodzone serca </w:t>
            </w:r>
          </w:p>
        </w:tc>
      </w:tr>
      <w:tr w:rsidR="002B6177" w14:paraId="714C04F7" w14:textId="77777777" w:rsidTr="002B6177">
        <w:tc>
          <w:tcPr>
            <w:tcW w:w="1164" w:type="dxa"/>
          </w:tcPr>
          <w:p w14:paraId="7560AD46" w14:textId="77777777" w:rsidR="002B6177" w:rsidRDefault="002B6177" w:rsidP="00A7178D">
            <w:pPr>
              <w:jc w:val="both"/>
            </w:pPr>
            <w:r>
              <w:t>III</w:t>
            </w:r>
          </w:p>
        </w:tc>
        <w:tc>
          <w:tcPr>
            <w:tcW w:w="2552" w:type="dxa"/>
          </w:tcPr>
          <w:p w14:paraId="18E45330" w14:textId="77777777" w:rsidR="002B6177" w:rsidRDefault="002B6177" w:rsidP="00A7178D">
            <w:pPr>
              <w:jc w:val="both"/>
            </w:pPr>
            <w:r>
              <w:t>50</w:t>
            </w:r>
          </w:p>
        </w:tc>
        <w:tc>
          <w:tcPr>
            <w:tcW w:w="5340" w:type="dxa"/>
          </w:tcPr>
          <w:p w14:paraId="0A581C8D" w14:textId="77777777" w:rsidR="002B6177" w:rsidRPr="002B6177" w:rsidRDefault="002B6177" w:rsidP="00A7178D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B6177">
              <w:rPr>
                <w:rFonts w:asciiTheme="minorHAnsi" w:hAnsiTheme="minorHAnsi"/>
              </w:rPr>
              <w:t xml:space="preserve">masa urodzeniowa &lt; 1500 g i </w:t>
            </w:r>
            <w:r w:rsidR="009E21BA" w:rsidRPr="002B6177">
              <w:rPr>
                <w:rFonts w:asciiTheme="minorHAnsi" w:hAnsiTheme="minorHAnsi"/>
              </w:rPr>
              <w:t>duże</w:t>
            </w:r>
            <w:r w:rsidRPr="002B6177">
              <w:rPr>
                <w:rFonts w:asciiTheme="minorHAnsi" w:hAnsiTheme="minorHAnsi"/>
              </w:rPr>
              <w:t xml:space="preserve"> wady wrodzone serca </w:t>
            </w:r>
          </w:p>
        </w:tc>
      </w:tr>
    </w:tbl>
    <w:p w14:paraId="0C677D55" w14:textId="77777777" w:rsidR="002B6177" w:rsidRDefault="002B6177" w:rsidP="00A7178D">
      <w:pPr>
        <w:jc w:val="both"/>
      </w:pPr>
      <w:r>
        <w:t>Ryc. 3. Klasyfikacja rokownicza wg Spitza</w:t>
      </w:r>
    </w:p>
    <w:p w14:paraId="57424832" w14:textId="77777777" w:rsidR="00601443" w:rsidRDefault="00601443" w:rsidP="00A7178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2"/>
        <w:gridCol w:w="2542"/>
        <w:gridCol w:w="1556"/>
        <w:gridCol w:w="3796"/>
      </w:tblGrid>
      <w:tr w:rsidR="00196A86" w14:paraId="5CA7BBB9" w14:textId="77777777" w:rsidTr="00196A86">
        <w:tc>
          <w:tcPr>
            <w:tcW w:w="1164" w:type="dxa"/>
          </w:tcPr>
          <w:p w14:paraId="7F3E9517" w14:textId="1DA95601" w:rsidR="00196A86" w:rsidRDefault="00196A86" w:rsidP="00A7178D">
            <w:pPr>
              <w:jc w:val="both"/>
            </w:pPr>
            <w:r>
              <w:t>Grupa</w:t>
            </w:r>
          </w:p>
        </w:tc>
        <w:tc>
          <w:tcPr>
            <w:tcW w:w="2552" w:type="dxa"/>
          </w:tcPr>
          <w:p w14:paraId="77FD9E13" w14:textId="4035AD6B" w:rsidR="00196A86" w:rsidRDefault="00196A86" w:rsidP="00A7178D">
            <w:pPr>
              <w:jc w:val="both"/>
            </w:pPr>
            <w:r>
              <w:t>Rokowanie (% przeżyć)</w:t>
            </w:r>
          </w:p>
        </w:tc>
        <w:tc>
          <w:tcPr>
            <w:tcW w:w="1524" w:type="dxa"/>
          </w:tcPr>
          <w:p w14:paraId="57A63F41" w14:textId="09483682" w:rsidR="00196A86" w:rsidRDefault="00196A86" w:rsidP="00A7178D">
            <w:pPr>
              <w:jc w:val="both"/>
            </w:pPr>
            <w:r>
              <w:t>Ryzyko zgonu</w:t>
            </w:r>
          </w:p>
        </w:tc>
        <w:tc>
          <w:tcPr>
            <w:tcW w:w="3816" w:type="dxa"/>
          </w:tcPr>
          <w:p w14:paraId="1FD5804D" w14:textId="325FC0DD" w:rsidR="00196A86" w:rsidRDefault="00196A86" w:rsidP="00A7178D">
            <w:pPr>
              <w:jc w:val="both"/>
            </w:pPr>
            <w:r>
              <w:t>Definicja</w:t>
            </w:r>
          </w:p>
        </w:tc>
      </w:tr>
      <w:tr w:rsidR="00196A86" w14:paraId="59EBE519" w14:textId="77777777" w:rsidTr="00196A86">
        <w:trPr>
          <w:trHeight w:val="614"/>
        </w:trPr>
        <w:tc>
          <w:tcPr>
            <w:tcW w:w="1164" w:type="dxa"/>
          </w:tcPr>
          <w:p w14:paraId="2A05F149" w14:textId="1E76BB80" w:rsidR="00196A86" w:rsidRDefault="00196A86" w:rsidP="00A7178D">
            <w:pPr>
              <w:jc w:val="both"/>
            </w:pPr>
            <w:r>
              <w:t>I</w:t>
            </w:r>
          </w:p>
        </w:tc>
        <w:tc>
          <w:tcPr>
            <w:tcW w:w="2552" w:type="dxa"/>
          </w:tcPr>
          <w:p w14:paraId="29D9996D" w14:textId="664ACA52" w:rsidR="00196A86" w:rsidRDefault="00196A86" w:rsidP="00A7178D">
            <w:pPr>
              <w:jc w:val="both"/>
            </w:pPr>
            <w:r>
              <w:t>100</w:t>
            </w:r>
          </w:p>
        </w:tc>
        <w:tc>
          <w:tcPr>
            <w:tcW w:w="1524" w:type="dxa"/>
          </w:tcPr>
          <w:p w14:paraId="1BDFAFAF" w14:textId="08D3C5B3" w:rsidR="00196A86" w:rsidRDefault="00196A86" w:rsidP="00A7178D">
            <w:pPr>
              <w:jc w:val="both"/>
            </w:pPr>
            <w:r>
              <w:t>niskie</w:t>
            </w:r>
          </w:p>
        </w:tc>
        <w:tc>
          <w:tcPr>
            <w:tcW w:w="3816" w:type="dxa"/>
          </w:tcPr>
          <w:p w14:paraId="6F63922E" w14:textId="21B19EA4" w:rsidR="00196A86" w:rsidRPr="00196A86" w:rsidRDefault="00196A86" w:rsidP="00A7178D">
            <w:pPr>
              <w:contextualSpacing/>
              <w:jc w:val="both"/>
            </w:pPr>
            <w:r w:rsidRPr="00196A86">
              <w:t>masa ur. &gt;2000g bez większych wad serca</w:t>
            </w:r>
          </w:p>
        </w:tc>
      </w:tr>
      <w:tr w:rsidR="00196A86" w14:paraId="55044C66" w14:textId="77777777" w:rsidTr="00196A86">
        <w:tc>
          <w:tcPr>
            <w:tcW w:w="1164" w:type="dxa"/>
          </w:tcPr>
          <w:p w14:paraId="271686DA" w14:textId="4C03CF7A" w:rsidR="00196A86" w:rsidRDefault="00196A86" w:rsidP="00A7178D">
            <w:pPr>
              <w:jc w:val="both"/>
            </w:pPr>
            <w:r>
              <w:t>II</w:t>
            </w:r>
          </w:p>
        </w:tc>
        <w:tc>
          <w:tcPr>
            <w:tcW w:w="2552" w:type="dxa"/>
          </w:tcPr>
          <w:p w14:paraId="49C0C99F" w14:textId="5E409908" w:rsidR="00196A86" w:rsidRDefault="00196A86" w:rsidP="00A7178D">
            <w:pPr>
              <w:jc w:val="both"/>
            </w:pPr>
            <w:r>
              <w:t>81</w:t>
            </w:r>
          </w:p>
        </w:tc>
        <w:tc>
          <w:tcPr>
            <w:tcW w:w="1524" w:type="dxa"/>
          </w:tcPr>
          <w:p w14:paraId="0403B4ED" w14:textId="3F542451" w:rsidR="00196A86" w:rsidRDefault="00196A86" w:rsidP="00A7178D">
            <w:pPr>
              <w:jc w:val="both"/>
            </w:pPr>
            <w:r>
              <w:t>umiarkowane</w:t>
            </w:r>
          </w:p>
        </w:tc>
        <w:tc>
          <w:tcPr>
            <w:tcW w:w="3816" w:type="dxa"/>
          </w:tcPr>
          <w:p w14:paraId="1D40AB9C" w14:textId="5F1255E1" w:rsidR="00196A86" w:rsidRPr="00196A86" w:rsidRDefault="00196A86" w:rsidP="00A7178D">
            <w:pPr>
              <w:jc w:val="both"/>
            </w:pPr>
            <w:r w:rsidRPr="00196A86">
              <w:t>masa ur. &lt;2000g bez większych wad serca</w:t>
            </w:r>
          </w:p>
        </w:tc>
      </w:tr>
      <w:tr w:rsidR="00196A86" w14:paraId="41FC935C" w14:textId="77777777" w:rsidTr="00196A86">
        <w:tc>
          <w:tcPr>
            <w:tcW w:w="1164" w:type="dxa"/>
          </w:tcPr>
          <w:p w14:paraId="04FEB3F5" w14:textId="493B5B14" w:rsidR="00196A86" w:rsidRDefault="00196A86" w:rsidP="00A7178D">
            <w:pPr>
              <w:jc w:val="both"/>
            </w:pPr>
            <w:r>
              <w:t>III</w:t>
            </w:r>
          </w:p>
        </w:tc>
        <w:tc>
          <w:tcPr>
            <w:tcW w:w="2552" w:type="dxa"/>
          </w:tcPr>
          <w:p w14:paraId="5C99463A" w14:textId="6F3BC1AA" w:rsidR="00196A86" w:rsidRDefault="00196A86" w:rsidP="00A7178D">
            <w:pPr>
              <w:jc w:val="both"/>
            </w:pPr>
            <w:r>
              <w:t>72</w:t>
            </w:r>
          </w:p>
        </w:tc>
        <w:tc>
          <w:tcPr>
            <w:tcW w:w="1524" w:type="dxa"/>
          </w:tcPr>
          <w:p w14:paraId="7F280FD5" w14:textId="67037E41" w:rsidR="00196A86" w:rsidRDefault="00196A86" w:rsidP="00A7178D">
            <w:pPr>
              <w:jc w:val="both"/>
            </w:pPr>
            <w:r>
              <w:t xml:space="preserve">relatywnie wysokie </w:t>
            </w:r>
          </w:p>
        </w:tc>
        <w:tc>
          <w:tcPr>
            <w:tcW w:w="3816" w:type="dxa"/>
          </w:tcPr>
          <w:p w14:paraId="3EF46CBE" w14:textId="7D466E9B" w:rsidR="00196A86" w:rsidRPr="00196A86" w:rsidRDefault="00196A86" w:rsidP="00A7178D">
            <w:pPr>
              <w:jc w:val="both"/>
            </w:pPr>
            <w:r w:rsidRPr="00196A86">
              <w:t>masa ur. &gt;2000g z większymi wadami serca</w:t>
            </w:r>
          </w:p>
        </w:tc>
      </w:tr>
      <w:tr w:rsidR="00196A86" w14:paraId="7AD1DE12" w14:textId="77777777" w:rsidTr="00196A86">
        <w:tc>
          <w:tcPr>
            <w:tcW w:w="1164" w:type="dxa"/>
          </w:tcPr>
          <w:p w14:paraId="5651DD73" w14:textId="0521ED5B" w:rsidR="00196A86" w:rsidRDefault="00196A86" w:rsidP="00A7178D">
            <w:pPr>
              <w:jc w:val="both"/>
            </w:pPr>
            <w:r>
              <w:t>IV</w:t>
            </w:r>
          </w:p>
        </w:tc>
        <w:tc>
          <w:tcPr>
            <w:tcW w:w="2552" w:type="dxa"/>
          </w:tcPr>
          <w:p w14:paraId="20F3BEE5" w14:textId="628176F7" w:rsidR="00196A86" w:rsidRDefault="00196A86" w:rsidP="00A7178D">
            <w:pPr>
              <w:jc w:val="both"/>
            </w:pPr>
            <w:r>
              <w:t>27</w:t>
            </w:r>
          </w:p>
        </w:tc>
        <w:tc>
          <w:tcPr>
            <w:tcW w:w="1524" w:type="dxa"/>
          </w:tcPr>
          <w:p w14:paraId="41EF28DD" w14:textId="0C0F6BD8" w:rsidR="00196A86" w:rsidRDefault="00196A86" w:rsidP="00A7178D">
            <w:pPr>
              <w:jc w:val="both"/>
            </w:pPr>
            <w:r>
              <w:t>wysokie</w:t>
            </w:r>
          </w:p>
        </w:tc>
        <w:tc>
          <w:tcPr>
            <w:tcW w:w="3816" w:type="dxa"/>
          </w:tcPr>
          <w:p w14:paraId="0EFF7FAE" w14:textId="534B4F9E" w:rsidR="00196A86" w:rsidRPr="00196A86" w:rsidRDefault="00196A86" w:rsidP="00A7178D">
            <w:pPr>
              <w:jc w:val="both"/>
            </w:pPr>
            <w:r w:rsidRPr="00196A86">
              <w:t>masa ur. &lt;2000g z większymi wadami serca</w:t>
            </w:r>
          </w:p>
        </w:tc>
      </w:tr>
    </w:tbl>
    <w:p w14:paraId="24D88D0B" w14:textId="0D1C11FF" w:rsidR="00601443" w:rsidRDefault="00196A86" w:rsidP="00A7178D">
      <w:pPr>
        <w:jc w:val="both"/>
      </w:pPr>
      <w:r>
        <w:t>Ryc. 4. Klasyfikacja rokownicza wg Spitza w modyfikacji Kobe/Nagano</w:t>
      </w:r>
    </w:p>
    <w:p w14:paraId="793FD442" w14:textId="77777777" w:rsidR="009E21BA" w:rsidRDefault="009E21BA" w:rsidP="00A7178D">
      <w:pPr>
        <w:jc w:val="both"/>
      </w:pPr>
    </w:p>
    <w:p w14:paraId="76BE3D44" w14:textId="77777777" w:rsidR="00601443" w:rsidRDefault="00601443" w:rsidP="00A7178D">
      <w:pPr>
        <w:jc w:val="both"/>
      </w:pPr>
    </w:p>
    <w:p w14:paraId="7B415F72" w14:textId="77777777" w:rsidR="00601443" w:rsidRDefault="00601443" w:rsidP="00A7178D">
      <w:pPr>
        <w:jc w:val="both"/>
      </w:pPr>
    </w:p>
    <w:p w14:paraId="539F43E8" w14:textId="55B8D78B" w:rsidR="009E21BA" w:rsidRDefault="009E21BA" w:rsidP="00A7178D">
      <w:pPr>
        <w:jc w:val="both"/>
      </w:pPr>
      <w:r>
        <w:t>Kolejnym podziałem wrodzonego zarośnięcia przełyku jest podział kliniczny na:</w:t>
      </w:r>
    </w:p>
    <w:p w14:paraId="1FFD0455" w14:textId="77777777" w:rsidR="009E21BA" w:rsidRDefault="009E21BA" w:rsidP="00A7178D">
      <w:pPr>
        <w:pStyle w:val="Akapitzlist"/>
        <w:numPr>
          <w:ilvl w:val="0"/>
          <w:numId w:val="1"/>
        </w:numPr>
        <w:jc w:val="both"/>
      </w:pPr>
      <w:r>
        <w:t>wadę izolowaną bez towarzyszących wad rozwojowych</w:t>
      </w:r>
    </w:p>
    <w:p w14:paraId="489BFDAE" w14:textId="77777777" w:rsidR="009E21BA" w:rsidRDefault="009E21BA" w:rsidP="00A7178D">
      <w:pPr>
        <w:pStyle w:val="Akapitzlist"/>
        <w:numPr>
          <w:ilvl w:val="0"/>
          <w:numId w:val="1"/>
        </w:numPr>
        <w:jc w:val="both"/>
      </w:pPr>
      <w:r>
        <w:t>wadę współistniejącą z dodatkowymi zaburzeniem lub zaburzeniami wrodzonymi obejmującymi inne układy.</w:t>
      </w:r>
    </w:p>
    <w:p w14:paraId="235FDD05" w14:textId="0882A93D" w:rsidR="009E21BA" w:rsidRDefault="00EA6355" w:rsidP="00A7178D">
      <w:pPr>
        <w:jc w:val="both"/>
      </w:pPr>
      <w:r>
        <w:lastRenderedPageBreak/>
        <w:t xml:space="preserve">W 50% przypadków zarośnięcie przełyku jest wadą izolowaną. </w:t>
      </w:r>
      <w:r w:rsidR="006875EF">
        <w:t>Spośród wad</w:t>
      </w:r>
      <w:r w:rsidR="0097016E">
        <w:t xml:space="preserve"> towarzyszących najczęściej występują </w:t>
      </w:r>
      <w:r w:rsidR="006875EF">
        <w:t xml:space="preserve">wady serca, układu moczowo-płciowego, kostnego, innych części przewodu pokarmowego (np. zarośnięcie dwunastnicy, odbytu). Często również występują </w:t>
      </w:r>
      <w:r w:rsidR="0097016E">
        <w:t xml:space="preserve">aberracje chromosomalne (np. zespół Edwardsa, zespół Downa, zespół </w:t>
      </w:r>
      <w:proofErr w:type="spellStart"/>
      <w:r w:rsidR="0097016E">
        <w:t>Patau</w:t>
      </w:r>
      <w:proofErr w:type="spellEnd"/>
      <w:r w:rsidR="0097016E">
        <w:t xml:space="preserve">), zaburzenia struktury chromosomów (np. zespół </w:t>
      </w:r>
      <w:proofErr w:type="spellStart"/>
      <w:r w:rsidR="0097016E">
        <w:t>DiGeorga</w:t>
      </w:r>
      <w:proofErr w:type="spellEnd"/>
      <w:r w:rsidR="0097016E">
        <w:t>)</w:t>
      </w:r>
      <w:r w:rsidR="004E69A3">
        <w:t xml:space="preserve">, </w:t>
      </w:r>
      <w:r w:rsidR="006875EF">
        <w:t xml:space="preserve">zespoły powstające w wyniku uszkodzenia pojedynczego lub wielu genów (np. zespół CHARGE, </w:t>
      </w:r>
      <w:r w:rsidR="0097016E">
        <w:t xml:space="preserve"> </w:t>
      </w:r>
      <w:r w:rsidR="006875EF">
        <w:t xml:space="preserve">zespół </w:t>
      </w:r>
      <w:proofErr w:type="spellStart"/>
      <w:r w:rsidR="006875EF">
        <w:t>Feingolda</w:t>
      </w:r>
      <w:proofErr w:type="spellEnd"/>
      <w:r w:rsidR="006875EF">
        <w:t xml:space="preserve">, zespół oczno- przełykowo-płciowy, anemia </w:t>
      </w:r>
      <w:proofErr w:type="spellStart"/>
      <w:r w:rsidR="006875EF">
        <w:t>Fanconiego</w:t>
      </w:r>
      <w:proofErr w:type="spellEnd"/>
      <w:r w:rsidR="006875EF">
        <w:t>), jak również zarośni</w:t>
      </w:r>
      <w:r w:rsidR="0068615C">
        <w:t>ę</w:t>
      </w:r>
      <w:r w:rsidR="006875EF">
        <w:t>cie przełyku może być elementem asocjacji lub zespołu o nieznanej etiologii (np. asocjacja VATER/VACTERL</w:t>
      </w:r>
      <w:r w:rsidR="0068615C">
        <w:t xml:space="preserve"> </w:t>
      </w:r>
      <w:r w:rsidR="006875EF">
        <w:t>- wady kręgów, wady odcinka odbytniczo-odbytowego, zarośnięcie przełyku/przetoka przełykowo- tchawicza, wady kości przedramienia, nerek, wady serca, wady kończyn).</w:t>
      </w:r>
    </w:p>
    <w:p w14:paraId="32FB4F6D" w14:textId="77777777" w:rsidR="009B1A1C" w:rsidRDefault="009B1A1C" w:rsidP="00A7178D">
      <w:pPr>
        <w:ind w:firstLine="708"/>
        <w:jc w:val="both"/>
      </w:pPr>
    </w:p>
    <w:p w14:paraId="6E22D625" w14:textId="03358648" w:rsidR="009B1A1C" w:rsidRPr="009B1A1C" w:rsidRDefault="009B1A1C" w:rsidP="009B1A1C">
      <w:pPr>
        <w:jc w:val="both"/>
        <w:rPr>
          <w:color w:val="FF0000"/>
        </w:rPr>
      </w:pPr>
      <w:r w:rsidRPr="009B1A1C">
        <w:rPr>
          <w:color w:val="FF0000"/>
        </w:rPr>
        <w:t>Możliwości diagnostyki prenatalnej:</w:t>
      </w:r>
    </w:p>
    <w:p w14:paraId="2FAED65E" w14:textId="77777777" w:rsidR="006875EF" w:rsidRDefault="006875EF" w:rsidP="00A7178D">
      <w:pPr>
        <w:ind w:firstLine="708"/>
        <w:jc w:val="both"/>
      </w:pPr>
      <w:r>
        <w:t xml:space="preserve">Wrodzone zarośniecie przełyku powstaje w </w:t>
      </w:r>
      <w:r w:rsidR="0063729B">
        <w:t xml:space="preserve">pierwszych tygodniach życia płodowego (4.-8. tydzień ciąży) i na jego powstanie mają wpływ zarówno czynniki genetyczne, jak i środowiskowe. Do czynników środowiskowych możemy zaliczyć: leki (np. metamizol stosowany w leczeniu chorób tarczycy przebiegających z jej nadczynnością, </w:t>
      </w:r>
      <w:proofErr w:type="spellStart"/>
      <w:r w:rsidR="0063729B">
        <w:t>adriamycyna</w:t>
      </w:r>
      <w:proofErr w:type="spellEnd"/>
      <w:r w:rsidR="0063729B">
        <w:t xml:space="preserve"> stosowana w onkologii w leczeniu nowotworów, </w:t>
      </w:r>
      <w:proofErr w:type="spellStart"/>
      <w:r w:rsidR="0063729B">
        <w:t>statyny</w:t>
      </w:r>
      <w:proofErr w:type="spellEnd"/>
      <w:r w:rsidR="0063729B">
        <w:t xml:space="preserve"> stosowane w leczeniu zaburzeń gospodarki lipidowej), alkohol, syntetyczne hormony płciowe (</w:t>
      </w:r>
      <w:proofErr w:type="spellStart"/>
      <w:r w:rsidR="0063729B">
        <w:t>dietylstilbestrol</w:t>
      </w:r>
      <w:proofErr w:type="spellEnd"/>
      <w:r w:rsidR="0063729B">
        <w:t>), herbicydy, pestycydy.</w:t>
      </w:r>
    </w:p>
    <w:p w14:paraId="6162ADE9" w14:textId="69D0681D" w:rsidR="00BB0485" w:rsidRDefault="00296852" w:rsidP="00A7178D">
      <w:pPr>
        <w:jc w:val="both"/>
      </w:pPr>
      <w:r>
        <w:t xml:space="preserve">Wrodzone zarośniecie przełyku wyjątkowo daje się rozpoznać w I </w:t>
      </w:r>
      <w:proofErr w:type="spellStart"/>
      <w:r>
        <w:t>i</w:t>
      </w:r>
      <w:proofErr w:type="spellEnd"/>
      <w:r>
        <w:t xml:space="preserve"> II trymestrze ciąży, zwykle są to przypadki z towarzyszącymi wadami wrodzonymi. Markerem, który może sugerować obecność wady, jest w badaniu USG prenatalnym brak wypełnienia żołądka lub jego małe wymiary (średnica mniejsza niż 10 mm) obserwowane w dwóch kolejnych badaniach. </w:t>
      </w:r>
      <w:r w:rsidR="00BE001E">
        <w:t xml:space="preserve">W III trymestrze ciąży może dołączyć się wielowodzie. </w:t>
      </w:r>
      <w:r w:rsidR="0068615C">
        <w:t>U</w:t>
      </w:r>
      <w:r w:rsidR="004C1636">
        <w:t xml:space="preserve"> płodu z podejrzeniem wrodzonego zarośnięcia przełyku należy wykluczyć inne wady towarzyszące, warto rozważyć konsultację z genetykiem, chirurgiem dziecięcym. Większość dzieci rodzi się o czasie, obecnie nie ma wskazań do wykonywania rutynowego cesarskiego cięcia.</w:t>
      </w:r>
    </w:p>
    <w:p w14:paraId="62569D2E" w14:textId="77777777" w:rsidR="00196A86" w:rsidRDefault="00141B27" w:rsidP="00A7178D">
      <w:pPr>
        <w:jc w:val="both"/>
      </w:pPr>
      <w:r>
        <w:tab/>
      </w:r>
    </w:p>
    <w:p w14:paraId="376D1767" w14:textId="5D5CD197" w:rsidR="009B1A1C" w:rsidRDefault="009B1A1C" w:rsidP="00A7178D">
      <w:pPr>
        <w:jc w:val="both"/>
        <w:rPr>
          <w:color w:val="FF0000"/>
        </w:rPr>
      </w:pPr>
      <w:r w:rsidRPr="009B1A1C">
        <w:rPr>
          <w:color w:val="FF0000"/>
        </w:rPr>
        <w:t>Postępowanie przedoperacyjne:</w:t>
      </w:r>
    </w:p>
    <w:p w14:paraId="425B95EC" w14:textId="77777777" w:rsidR="00525F4E" w:rsidRDefault="00206449" w:rsidP="00A7178D">
      <w:pPr>
        <w:jc w:val="both"/>
        <w:rPr>
          <w:color w:val="000000" w:themeColor="text1"/>
        </w:rPr>
      </w:pPr>
      <w:r>
        <w:rPr>
          <w:color w:val="000000" w:themeColor="text1"/>
        </w:rPr>
        <w:t>Celem postępowania</w:t>
      </w:r>
      <w:r w:rsidR="00525F4E">
        <w:rPr>
          <w:color w:val="000000" w:themeColor="text1"/>
        </w:rPr>
        <w:t xml:space="preserve"> przedoperacyjnego jest optymalne przygotowanie dziecka do zabiegu operacyjnego oraz zmniejszenie do minimum następstw wynikających z patologii wady. Wykonuje się:</w:t>
      </w:r>
    </w:p>
    <w:p w14:paraId="40E2CDC0" w14:textId="7B370490" w:rsidR="00E059ED" w:rsidRDefault="00525F4E" w:rsidP="00525F4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odessanie śliny gromadzącej się w jamie ustno-gardłowej</w:t>
      </w:r>
    </w:p>
    <w:p w14:paraId="40E1CEB3" w14:textId="728DA0DC" w:rsidR="00525F4E" w:rsidRPr="00525F4E" w:rsidRDefault="00525F4E" w:rsidP="00525F4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odpowiednie ułożenie dziecka </w:t>
      </w:r>
    </w:p>
    <w:p w14:paraId="60C338E4" w14:textId="2B6C1207" w:rsidR="00525F4E" w:rsidRDefault="00525F4E" w:rsidP="00525F4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unikanie nadmiernych i niepotrzebnych czynności wokół noworodka</w:t>
      </w:r>
    </w:p>
    <w:p w14:paraId="3E610791" w14:textId="52CAF0CB" w:rsidR="00525F4E" w:rsidRPr="00525F4E" w:rsidRDefault="000C7DB2" w:rsidP="00525F4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wykonanie wszelkich niezbędnych badań laboratoryjnych, oznaczenie grupy krwi, rezerwa koncentratu krwinek czerwonych, badanie ECHO serca</w:t>
      </w:r>
      <w:r w:rsidR="0068615C">
        <w:rPr>
          <w:color w:val="000000" w:themeColor="text1"/>
        </w:rPr>
        <w:t>, USG przezciemienio</w:t>
      </w:r>
      <w:r w:rsidR="008F10AF">
        <w:rPr>
          <w:color w:val="000000" w:themeColor="text1"/>
        </w:rPr>
        <w:t>we</w:t>
      </w:r>
    </w:p>
    <w:p w14:paraId="4CE18777" w14:textId="77777777" w:rsidR="009B1A1C" w:rsidRDefault="009B1A1C" w:rsidP="00A7178D">
      <w:pPr>
        <w:jc w:val="both"/>
      </w:pPr>
    </w:p>
    <w:p w14:paraId="0316B281" w14:textId="77777777" w:rsidR="009B1A1C" w:rsidRDefault="009B1A1C" w:rsidP="00A7178D">
      <w:pPr>
        <w:jc w:val="both"/>
      </w:pPr>
    </w:p>
    <w:p w14:paraId="35B2280E" w14:textId="77777777" w:rsidR="009B1A1C" w:rsidRPr="009B1A1C" w:rsidRDefault="009B1A1C" w:rsidP="00A7178D">
      <w:pPr>
        <w:jc w:val="both"/>
        <w:rPr>
          <w:color w:val="FF0000"/>
        </w:rPr>
      </w:pPr>
      <w:r w:rsidRPr="009B1A1C">
        <w:rPr>
          <w:color w:val="FF0000"/>
        </w:rPr>
        <w:t>Postępowanie operacyjne:</w:t>
      </w:r>
    </w:p>
    <w:p w14:paraId="6C8258AA" w14:textId="5D3E93CC" w:rsidR="00141B27" w:rsidRDefault="00141B27" w:rsidP="00A7178D">
      <w:pPr>
        <w:jc w:val="both"/>
      </w:pPr>
      <w:r>
        <w:t>Wrodzone zarośni</w:t>
      </w:r>
      <w:r w:rsidR="008F10AF">
        <w:t>ę</w:t>
      </w:r>
      <w:r>
        <w:t xml:space="preserve">cie przełyku w obecnych czasach nie jest wskazaniem do zabiegu w trybie </w:t>
      </w:r>
      <w:proofErr w:type="spellStart"/>
      <w:r>
        <w:t>ostrodyżurowym</w:t>
      </w:r>
      <w:proofErr w:type="spellEnd"/>
      <w:r>
        <w:t xml:space="preserve">, gdyż zasadnicze znaczenie dla końcowego wyniku leczenia oraz uniknięcia powikłań ma właściwe przygotowanie dziecka do zabiegu. </w:t>
      </w:r>
      <w:r w:rsidR="00BE3B17">
        <w:t>Wybór optymalnej strategii postępowania operacyjnego ma zasadnicze znaczenie dla prawidłowego przebiegu leczenia. Pomimo różnic w dostępie operacyjnym stosowanym przez różne ośrodki zajmujące się lecz</w:t>
      </w:r>
      <w:r w:rsidR="00124203">
        <w:t>eniem tej wady</w:t>
      </w:r>
      <w:r w:rsidR="008F10AF">
        <w:t>,</w:t>
      </w:r>
      <w:r w:rsidR="00124203">
        <w:t xml:space="preserve"> podstawowa zasada jest wspólna</w:t>
      </w:r>
      <w:r w:rsidR="008F10AF">
        <w:t xml:space="preserve"> </w:t>
      </w:r>
      <w:r w:rsidR="00124203">
        <w:t xml:space="preserve">- najlepszy jest własny przełyk i </w:t>
      </w:r>
      <w:r w:rsidR="00124203">
        <w:lastRenderedPageBreak/>
        <w:t>wszystkie działania powinny być zogniskowane na odtworzeniu i zachowaniu ciągłości naturalnego prze</w:t>
      </w:r>
      <w:r w:rsidR="00196A86">
        <w:t xml:space="preserve">łyku. U dzieci kwalifikowanych </w:t>
      </w:r>
      <w:r w:rsidR="00124203">
        <w:t>do zabiegu operacyjnego należy rozważyć wykonanie bronchoskopii celem oceny anatomii tchawicy i głównych oskrzeli, obecności przetoki przełyk</w:t>
      </w:r>
      <w:r w:rsidR="00196A86">
        <w:t>owo-</w:t>
      </w:r>
      <w:proofErr w:type="spellStart"/>
      <w:r w:rsidR="00196A86">
        <w:t>tchawiczej</w:t>
      </w:r>
      <w:proofErr w:type="spellEnd"/>
      <w:r w:rsidR="00196A86">
        <w:t>, jej szerokości</w:t>
      </w:r>
      <w:r w:rsidR="00124203">
        <w:t xml:space="preserve">, umiejscowienia, obecności </w:t>
      </w:r>
      <w:proofErr w:type="spellStart"/>
      <w:r w:rsidR="00124203">
        <w:t>tracheomalacji</w:t>
      </w:r>
      <w:proofErr w:type="spellEnd"/>
      <w:r w:rsidR="00124203">
        <w:t>, zwężenia tchawicy, ewentualnego rozszczepu krtani, które mogą mieć wpływ na przebieg pooperacyjny i konieczność kolejnych zabiegów.</w:t>
      </w:r>
      <w:r w:rsidR="00EC0988">
        <w:t xml:space="preserve"> Najczęstszym typem wrodzonego zarośnięcia przełyku jest typ C (typ III</w:t>
      </w:r>
      <w:r w:rsidR="008F10AF">
        <w:t>,</w:t>
      </w:r>
      <w:r w:rsidR="00EC0988">
        <w:t xml:space="preserve"> w którym występuje przetoka przełykowo-tchawicza dolna)</w:t>
      </w:r>
      <w:r w:rsidR="00E07E3E">
        <w:t xml:space="preserve"> </w:t>
      </w:r>
      <w:r w:rsidR="00EC0988">
        <w:t>- zabieg polega na zamknięciu przetoki przełykowo-</w:t>
      </w:r>
      <w:proofErr w:type="spellStart"/>
      <w:r w:rsidR="00EC0988">
        <w:t>tchawiczej</w:t>
      </w:r>
      <w:proofErr w:type="spellEnd"/>
      <w:r w:rsidR="00EC0988">
        <w:t>, a następnie zespoleniu końców przełyku</w:t>
      </w:r>
      <w:r w:rsidR="00150D2D">
        <w:t>.</w:t>
      </w:r>
      <w:r w:rsidR="00EC0988">
        <w:t xml:space="preserve"> </w:t>
      </w:r>
      <w:r w:rsidR="00150D2D">
        <w:t>W</w:t>
      </w:r>
      <w:r w:rsidR="00EC0988">
        <w:t xml:space="preserve"> </w:t>
      </w:r>
      <w:r w:rsidR="00B70AB3">
        <w:t>tym typie</w:t>
      </w:r>
      <w:r w:rsidR="00EC0988">
        <w:t xml:space="preserve"> możliwe jest w większości przypadków pierwotne zespolenie</w:t>
      </w:r>
      <w:r w:rsidR="00B70AB3">
        <w:t xml:space="preserve"> przełyku</w:t>
      </w:r>
      <w:r w:rsidR="00EC0988">
        <w:t xml:space="preserve">. </w:t>
      </w:r>
      <w:r w:rsidR="00E07E3E">
        <w:t>Zabieg ten można wykonać na dwa sposoby:</w:t>
      </w:r>
    </w:p>
    <w:p w14:paraId="084DB6DF" w14:textId="314382A9" w:rsidR="00E07E3E" w:rsidRDefault="00E07E3E" w:rsidP="00A7178D">
      <w:pPr>
        <w:pStyle w:val="Akapitzlist"/>
        <w:numPr>
          <w:ilvl w:val="0"/>
          <w:numId w:val="2"/>
        </w:numPr>
        <w:jc w:val="both"/>
      </w:pPr>
      <w:r>
        <w:t>metodą „otwartą”</w:t>
      </w:r>
      <w:r w:rsidR="00196A86">
        <w:t xml:space="preserve"> </w:t>
      </w:r>
      <w:r>
        <w:t xml:space="preserve">- cięcie skórne wykonuje się po </w:t>
      </w:r>
      <w:r w:rsidR="00B70AB3">
        <w:t xml:space="preserve">prawej </w:t>
      </w:r>
      <w:r>
        <w:t>stronie klatki piersiowej, tuż poniżej kąta łopatki, na długości około 4-5 cm; klatkę piersiową otwiera się przez 4. lub 5. przestrzeń międzyżebrową</w:t>
      </w:r>
    </w:p>
    <w:p w14:paraId="19607820" w14:textId="6AAC422B" w:rsidR="00E07E3E" w:rsidRDefault="00E07E3E" w:rsidP="00A7178D">
      <w:pPr>
        <w:pStyle w:val="Akapitzlist"/>
        <w:numPr>
          <w:ilvl w:val="0"/>
          <w:numId w:val="2"/>
        </w:numPr>
        <w:jc w:val="both"/>
      </w:pPr>
      <w:r>
        <w:t>metodą torakoskopową</w:t>
      </w:r>
      <w:r w:rsidR="00B70AB3">
        <w:t xml:space="preserve"> </w:t>
      </w:r>
      <w:r>
        <w:t>- wykonuje się 3 niewielkie cięcia skórne (3,5 lub 5 mm) po prawej stronie klatki piersiowej</w:t>
      </w:r>
      <w:r w:rsidR="00B15FDC">
        <w:t>. Wg wielu autorów ta metoda ma wiele zalet: doskonała wizualizacja struktur klatki piersiowej, krótszy czas hospitalizacji, szybsze rozpoczęcie pierwszego karmienia, minimalne ryzyko następstw tradycyjnego otwarcia klatki piersiowej</w:t>
      </w:r>
      <w:r w:rsidR="00B70AB3">
        <w:t xml:space="preserve"> </w:t>
      </w:r>
      <w:r w:rsidR="00D14D5F">
        <w:t xml:space="preserve">(czyli np. </w:t>
      </w:r>
      <w:r w:rsidR="00B15FDC">
        <w:t>duż</w:t>
      </w:r>
      <w:r w:rsidR="00D14D5F">
        <w:t>ej</w:t>
      </w:r>
      <w:r w:rsidR="00B15FDC">
        <w:t xml:space="preserve"> blizn</w:t>
      </w:r>
      <w:r w:rsidR="0067131A">
        <w:t>y</w:t>
      </w:r>
      <w:r w:rsidR="00B15FDC">
        <w:t>, możliwoś</w:t>
      </w:r>
      <w:r w:rsidR="0067131A">
        <w:t>ci</w:t>
      </w:r>
      <w:r w:rsidR="00B15FDC">
        <w:t xml:space="preserve"> rozejścia się rany, deformacji klatki piersiowej</w:t>
      </w:r>
      <w:r w:rsidR="003E4CAC">
        <w:t>)</w:t>
      </w:r>
      <w:r w:rsidR="00B15FDC">
        <w:t>.</w:t>
      </w:r>
    </w:p>
    <w:p w14:paraId="0DADDF27" w14:textId="77777777" w:rsidR="00196A86" w:rsidRDefault="00196A86" w:rsidP="00A7178D">
      <w:pPr>
        <w:jc w:val="both"/>
      </w:pPr>
    </w:p>
    <w:p w14:paraId="33543383" w14:textId="6D734AA1" w:rsidR="00C868C6" w:rsidRDefault="00C868C6" w:rsidP="00A7178D">
      <w:pPr>
        <w:jc w:val="both"/>
      </w:pPr>
      <w:r>
        <w:t xml:space="preserve">Dużym wyzwaniem dla chirurgów dziecięcych pozostaje leczenie </w:t>
      </w:r>
      <w:r w:rsidR="00B90CB3">
        <w:t>długoodcinkowej postaci zarośnięcia przełyku, czyli typu bez przetoki obwodowej</w:t>
      </w:r>
      <w:r w:rsidR="003E4CAC">
        <w:t xml:space="preserve"> </w:t>
      </w:r>
      <w:r w:rsidR="00B90CB3">
        <w:t>- zwykle w tych przypadkach nie udaje się pierwotne zespolenie i dzieci wymagają wieloetapowego leczenia. U tych pacjentów w pierwszym etapie zakłada się zwykle odżywczą gastrostomię, a następnie zabiegi odtwarzające ciągłość</w:t>
      </w:r>
      <w:r w:rsidR="00281CAE">
        <w:t> </w:t>
      </w:r>
      <w:r w:rsidR="00B90CB3">
        <w:t>przełyku.</w:t>
      </w:r>
      <w:r w:rsidR="00281CAE">
        <w:t xml:space="preserve"> Zaproponowano wiele technik operacyjnych, jednak żadna nie stałą się postępowaniem z wyboru. Wśród nich należy wspomnieć o:</w:t>
      </w:r>
    </w:p>
    <w:p w14:paraId="6C225FBE" w14:textId="39A2BF0E" w:rsidR="00281CAE" w:rsidRDefault="00281CAE" w:rsidP="00A7178D">
      <w:pPr>
        <w:pStyle w:val="Akapitzlist"/>
        <w:numPr>
          <w:ilvl w:val="0"/>
          <w:numId w:val="3"/>
        </w:numPr>
        <w:jc w:val="both"/>
      </w:pPr>
      <w:proofErr w:type="spellStart"/>
      <w:r>
        <w:t>torakoskopowej</w:t>
      </w:r>
      <w:proofErr w:type="spellEnd"/>
      <w:r>
        <w:t xml:space="preserve"> technice wydłużania przełyku z wykorzystaniem trakcji wewnętrznej</w:t>
      </w:r>
      <w:r w:rsidR="003E4CAC">
        <w:t xml:space="preserve"> </w:t>
      </w:r>
      <w:r>
        <w:t>- technika opracowana przez prof. Patkowskiego w Klinice Chirurgii i Urologii Dziecięcej we Wrocławiu; polega na możliwie maksymalnym wypreparowaniu obu końców przełyku a następnie zbliżeniu ich pod napięciem przy pomocy szwów</w:t>
      </w:r>
      <w:r w:rsidR="003E4CAC">
        <w:t>,</w:t>
      </w:r>
    </w:p>
    <w:p w14:paraId="239F37F1" w14:textId="7B661DA6" w:rsidR="00281CAE" w:rsidRDefault="00281CAE" w:rsidP="00A7178D">
      <w:pPr>
        <w:pStyle w:val="Akapitzlist"/>
        <w:numPr>
          <w:ilvl w:val="0"/>
          <w:numId w:val="3"/>
        </w:numPr>
        <w:jc w:val="both"/>
      </w:pPr>
      <w:r>
        <w:t>wydłużaniu przełyku za pomocą poszerzadeł oraz samoistnym wzroście</w:t>
      </w:r>
      <w:r w:rsidR="003E4CAC">
        <w:t xml:space="preserve"> </w:t>
      </w:r>
      <w:r>
        <w:t>- codzienne wprowadzanie do górnego lub obu odcinków przełyku posz</w:t>
      </w:r>
      <w:r w:rsidR="003E4CAC">
        <w:t>e</w:t>
      </w:r>
      <w:r>
        <w:t xml:space="preserve">rzadeł, które </w:t>
      </w:r>
      <w:r w:rsidR="003E4CAC">
        <w:t xml:space="preserve">go </w:t>
      </w:r>
      <w:r>
        <w:t>napręża</w:t>
      </w:r>
      <w:r w:rsidR="003E4CAC">
        <w:t>ją</w:t>
      </w:r>
      <w:r>
        <w:t xml:space="preserve"> i stymulują wzrost</w:t>
      </w:r>
      <w:r w:rsidR="003E4CAC">
        <w:t>,</w:t>
      </w:r>
    </w:p>
    <w:p w14:paraId="1ED84BEF" w14:textId="178C702E" w:rsidR="00281CAE" w:rsidRDefault="00281CAE" w:rsidP="00A7178D">
      <w:pPr>
        <w:pStyle w:val="Akapitzlist"/>
        <w:numPr>
          <w:ilvl w:val="0"/>
          <w:numId w:val="3"/>
        </w:numPr>
        <w:jc w:val="both"/>
      </w:pPr>
      <w:r>
        <w:t>zbliżaniu końców przełyku przy pomocy magnesów</w:t>
      </w:r>
      <w:r w:rsidR="003E4CAC">
        <w:t>,</w:t>
      </w:r>
    </w:p>
    <w:p w14:paraId="70D61800" w14:textId="4776D743" w:rsidR="00281CAE" w:rsidRDefault="00281CAE" w:rsidP="00A7178D">
      <w:pPr>
        <w:pStyle w:val="Akapitzlist"/>
        <w:numPr>
          <w:ilvl w:val="0"/>
          <w:numId w:val="3"/>
        </w:numPr>
        <w:jc w:val="both"/>
      </w:pPr>
      <w:r>
        <w:t xml:space="preserve">technice </w:t>
      </w:r>
      <w:proofErr w:type="spellStart"/>
      <w:r>
        <w:t>Kimury</w:t>
      </w:r>
      <w:proofErr w:type="spellEnd"/>
      <w:r w:rsidR="003E4CAC">
        <w:t xml:space="preserve"> </w:t>
      </w:r>
      <w:r>
        <w:t>- podskórne wieloetapowe wydłużanie górnego odcinka przełyku poprzez wielkokrotne wszywanie go w skórę przedniej ściany klatki piersiowej</w:t>
      </w:r>
      <w:r w:rsidR="003E4CAC">
        <w:t>;</w:t>
      </w:r>
      <w:r>
        <w:t xml:space="preserve"> </w:t>
      </w:r>
      <w:r w:rsidR="003E4CAC">
        <w:t>t</w:t>
      </w:r>
      <w:r>
        <w:t>echnika stosowana obecnie tylko w powikłanych przypadkach</w:t>
      </w:r>
      <w:r w:rsidR="003E4CAC">
        <w:t>,</w:t>
      </w:r>
    </w:p>
    <w:p w14:paraId="44858E2B" w14:textId="19413178" w:rsidR="00281CAE" w:rsidRDefault="00281CAE" w:rsidP="00A7178D">
      <w:pPr>
        <w:pStyle w:val="Akapitzlist"/>
        <w:numPr>
          <w:ilvl w:val="0"/>
          <w:numId w:val="3"/>
        </w:numPr>
        <w:jc w:val="both"/>
      </w:pPr>
      <w:r>
        <w:t>zabiegach wytwórczych przełyku</w:t>
      </w:r>
      <w:r w:rsidR="003E4CAC">
        <w:t xml:space="preserve"> </w:t>
      </w:r>
      <w:r>
        <w:t>- stosuje się je wyłącznie w przypadkach wystąpienia powikłań oraz utraty znaczącej długości istniejących fragmentów przełyku</w:t>
      </w:r>
      <w:r w:rsidR="003E4CAC">
        <w:t>;</w:t>
      </w:r>
      <w:r w:rsidR="00411477">
        <w:t xml:space="preserve"> </w:t>
      </w:r>
      <w:r w:rsidR="003E4CAC">
        <w:t>w</w:t>
      </w:r>
      <w:r w:rsidR="00411477">
        <w:t xml:space="preserve">ykorzystuje się inne odcinki przewodu pokarmowego: żołądek, jelito cienkie, jelito grube. </w:t>
      </w:r>
    </w:p>
    <w:p w14:paraId="793F87A0" w14:textId="43B729A2" w:rsidR="0016461D" w:rsidRDefault="00EF1CE6" w:rsidP="00A7178D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4C5174C" wp14:editId="781BAA94">
            <wp:extent cx="5756746" cy="5501640"/>
            <wp:effectExtent l="0" t="0" r="9525" b="10160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18" cy="55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E627" w14:textId="1AC1F41C" w:rsidR="00EF1CE6" w:rsidRDefault="00196A86" w:rsidP="00A7178D">
      <w:pPr>
        <w:jc w:val="both"/>
      </w:pPr>
      <w:r>
        <w:t>Ryc. 5</w:t>
      </w:r>
      <w:r w:rsidR="00EF1CE6">
        <w:t>. Algorytm postępowania przedoperacyjnego i kwalifikacja do zabiegu u noworodka z rozpoznaniem wrodzonego zarośnięcia przełyku</w:t>
      </w:r>
    </w:p>
    <w:p w14:paraId="426FD706" w14:textId="77777777" w:rsidR="00196A86" w:rsidRDefault="00196A86" w:rsidP="00A7178D">
      <w:pPr>
        <w:jc w:val="both"/>
      </w:pPr>
    </w:p>
    <w:p w14:paraId="0CE42028" w14:textId="77777777" w:rsidR="00196A86" w:rsidRDefault="00196A86" w:rsidP="00A7178D">
      <w:pPr>
        <w:contextualSpacing/>
        <w:jc w:val="both"/>
      </w:pPr>
      <w:r>
        <w:t xml:space="preserve">Odstąpienie od leczenia operacyjnego możliwe jest jedynie w ciężkich </w:t>
      </w:r>
      <w:proofErr w:type="spellStart"/>
      <w:r>
        <w:t>niekorekcyjnych</w:t>
      </w:r>
      <w:proofErr w:type="spellEnd"/>
      <w:r>
        <w:t xml:space="preserve"> wadach serca, wadach chromosomalnych (zespół Edwardsa), obustronnej agenezji nerek (zespół </w:t>
      </w:r>
      <w:proofErr w:type="spellStart"/>
      <w:r>
        <w:t>Potter’a</w:t>
      </w:r>
      <w:proofErr w:type="spellEnd"/>
      <w:r>
        <w:t xml:space="preserve">). W niektórych ciężkich zespołach chorobowych ewentualny zabieg operacyjny może mieć charakter paliatywny. </w:t>
      </w:r>
    </w:p>
    <w:p w14:paraId="09C4CA92" w14:textId="2260068E" w:rsidR="00D6371D" w:rsidRDefault="00D6371D" w:rsidP="00A7178D">
      <w:pPr>
        <w:contextualSpacing/>
        <w:jc w:val="both"/>
      </w:pPr>
    </w:p>
    <w:p w14:paraId="58E832A7" w14:textId="5EEC0BEE" w:rsidR="009B1A1C" w:rsidRPr="009B1A1C" w:rsidRDefault="009B1A1C" w:rsidP="00A7178D">
      <w:pPr>
        <w:contextualSpacing/>
        <w:jc w:val="both"/>
        <w:rPr>
          <w:color w:val="FF0000"/>
        </w:rPr>
      </w:pPr>
      <w:r w:rsidRPr="009B1A1C">
        <w:rPr>
          <w:color w:val="FF0000"/>
        </w:rPr>
        <w:t>Możliwe powikłania:</w:t>
      </w:r>
    </w:p>
    <w:p w14:paraId="5D9C0593" w14:textId="06D722EB" w:rsidR="00D6371D" w:rsidRDefault="00D6371D" w:rsidP="00A7178D">
      <w:pPr>
        <w:contextualSpacing/>
        <w:jc w:val="both"/>
      </w:pPr>
      <w:r>
        <w:t>Leczenie operacyjne wrodzonego zrośnięcia przełyku obarczone jest możliwością wystąpienia powikłań, zarówno tych wczesnych, jak i odległych:</w:t>
      </w:r>
    </w:p>
    <w:p w14:paraId="1FB89274" w14:textId="285B9FCC" w:rsidR="00D6371D" w:rsidRDefault="00D6371D" w:rsidP="00A7178D">
      <w:pPr>
        <w:pStyle w:val="Akapitzlist"/>
        <w:numPr>
          <w:ilvl w:val="0"/>
          <w:numId w:val="4"/>
        </w:numPr>
        <w:jc w:val="both"/>
      </w:pPr>
      <w:r>
        <w:t>nieszczelność zespolenia</w:t>
      </w:r>
      <w:r w:rsidR="00BD31D3">
        <w:t xml:space="preserve"> </w:t>
      </w:r>
      <w:r>
        <w:t>- ryzyko nieszczelności zespolenia ocenia się na 15-30%, chociaż w opinii niektórych autorów bardzo często mamy do czynienia ze śladowym zaciekiem treści ślinowej do śródpiersia, bez towarzyszących objawów klinicznych</w:t>
      </w:r>
      <w:r w:rsidR="00BD31D3">
        <w:t>;</w:t>
      </w:r>
      <w:r>
        <w:t xml:space="preserve"> najczęściej nie wymaga reoperacji, lecz drenażu klatki piersiowej i leczenia infekcji. Częstym powikłaniem nieszczelności zespolenia przełyku jest jego zwężenie</w:t>
      </w:r>
      <w:r w:rsidR="00BD31D3">
        <w:t>.</w:t>
      </w:r>
    </w:p>
    <w:p w14:paraId="51BA303E" w14:textId="4A0BC29A" w:rsidR="00D6371D" w:rsidRDefault="00D6371D" w:rsidP="00A7178D">
      <w:pPr>
        <w:pStyle w:val="Akapitzlist"/>
        <w:numPr>
          <w:ilvl w:val="0"/>
          <w:numId w:val="4"/>
        </w:numPr>
        <w:jc w:val="both"/>
      </w:pPr>
      <w:r>
        <w:t>zwężenie przełyku w miejscu zespolenia</w:t>
      </w:r>
      <w:r w:rsidR="00BD31D3">
        <w:t xml:space="preserve"> </w:t>
      </w:r>
      <w:r>
        <w:t>- najczęściej występujące powikłanie, zarówno wczesne</w:t>
      </w:r>
      <w:r w:rsidR="00BD31D3">
        <w:t>,</w:t>
      </w:r>
      <w:r>
        <w:t xml:space="preserve"> jak i odległe. Ryzyko wystąpienia zwężenia oceniane jest na 18-50%. Do </w:t>
      </w:r>
      <w:r>
        <w:lastRenderedPageBreak/>
        <w:t>czynników ryzyka należą: duża odległość obu końców zarośniętego przełyku i napięcie w miejscu zespolenia, nieszczelność zespolenia, odpływ żołądkowo-przełykowy. Objawami zwężenia przełyku są narastające trudności w połykaniu, krztuszenie się, wymioty treścią pokarmową, niechęć do jedzenia, wolne jedzenie, nawracające infekcje dróg oddechowych, wolny przyrost masy ciała. Leczeniem z wyboru jest poszerzanie</w:t>
      </w:r>
      <w:r w:rsidR="00117431">
        <w:t>,</w:t>
      </w:r>
      <w:r>
        <w:t xml:space="preserve"> zarówno przy pomocy poszerzadeł, jak i balonu. Skuteczność terapii ocenia się na 58-96%.</w:t>
      </w:r>
    </w:p>
    <w:p w14:paraId="63987A5D" w14:textId="394E4A2A" w:rsidR="00D6371D" w:rsidRDefault="00117431" w:rsidP="00A7178D">
      <w:pPr>
        <w:pStyle w:val="Akapitzlist"/>
        <w:numPr>
          <w:ilvl w:val="0"/>
          <w:numId w:val="4"/>
        </w:numPr>
        <w:jc w:val="both"/>
      </w:pPr>
      <w:r>
        <w:t>n</w:t>
      </w:r>
      <w:r w:rsidR="00D6371D">
        <w:t>awrotowa przetoka przełykowo-tchawicza</w:t>
      </w:r>
      <w:r>
        <w:t xml:space="preserve"> </w:t>
      </w:r>
      <w:r w:rsidR="00D6371D">
        <w:t>- ryzyko wystąpienia oceniane jest na około 10%. Jako czynniki predysponujące do wystąpienia nawrotowej przetoki wymienia się</w:t>
      </w:r>
      <w:r>
        <w:t>:</w:t>
      </w:r>
      <w:r w:rsidR="00D6371D">
        <w:t xml:space="preserve"> napięcie w linii zespolenia, nieszczelność zespolenia, bezpośrednie przyleganie do siebie miejsca zespolenia przełyku oraz zamknięcia przetoki. Najczęstszym objawem mogącym sugerować istnienie przetoki jest krztuszenie się podczas karmienia, szczególnie przy płynnych pokarmach. </w:t>
      </w:r>
      <w:r w:rsidR="00A7178D">
        <w:t xml:space="preserve">Diagnostyka obejmuje badanie kontrastowe przełyku, tomografię komputerową wysokiej rozdzielczości, jednakże najskuteczniejszą metodą rozpoznania pozostaje badanie endoskopowe tchawicy. W leczeniu stosuje się techniki endoskopowe zaklejenia przetoki (skuteczność około 60-90%) oraz operacyjne zamknięcie. </w:t>
      </w:r>
    </w:p>
    <w:p w14:paraId="241FE8E2" w14:textId="02BED9E8" w:rsidR="00A7178D" w:rsidRDefault="00A7178D" w:rsidP="00A7178D">
      <w:pPr>
        <w:pStyle w:val="Akapitzlist"/>
        <w:numPr>
          <w:ilvl w:val="0"/>
          <w:numId w:val="4"/>
        </w:numPr>
        <w:jc w:val="both"/>
      </w:pPr>
      <w:r>
        <w:t>Odpływ</w:t>
      </w:r>
      <w:r w:rsidR="00A96C06">
        <w:t xml:space="preserve"> (refluks)</w:t>
      </w:r>
      <w:r>
        <w:t xml:space="preserve"> żołądkowo-przełykowy</w:t>
      </w:r>
      <w:r w:rsidR="00A96C06">
        <w:t xml:space="preserve"> </w:t>
      </w:r>
      <w:r>
        <w:t xml:space="preserve">- bardzo często towarzyszy pacjentom po zabiegu operacyjnym. Jako przyczynę prowadzącą do powstania odpływu uważa się zaburzenia motoryki przełyku, krótki odcinek </w:t>
      </w:r>
      <w:proofErr w:type="spellStart"/>
      <w:r>
        <w:t>śródbrzuszny</w:t>
      </w:r>
      <w:proofErr w:type="spellEnd"/>
      <w:r>
        <w:t xml:space="preserve"> przełyku, zmiany anatomiczne i uszkodzenie nerwów błędnych podczas pierwotnego zabiegu odtwórczego przełyku oraz szeroki dolny zwieracz przełyku. Odpływ uważa się za jedną z głównych przyczyn prowadzących do zwężenia w miejscu zespolenia zarośniętych końców przełyku. Częstość występowania określana jest w szerokich granicach od 27%-85%, jednak tylko około 20% dzieci ma objawy kliniczne. Leczenie obejmuje postępowanie zachowawcze z zagęszczeniem pokarmów, zmniejszeniem pojedynczych porcji na korzyść częstszego karmienia, karmieniem w pozycji siedzącej oraz podawaniem leków</w:t>
      </w:r>
      <w:r w:rsidR="00167C8F">
        <w:t>:</w:t>
      </w:r>
      <w:r>
        <w:t xml:space="preserve"> zarówno inhibitorów pompy protonowej jak i H</w:t>
      </w:r>
      <w:r w:rsidRPr="00432496">
        <w:rPr>
          <w:vertAlign w:val="subscript"/>
        </w:rPr>
        <w:t>2</w:t>
      </w:r>
      <w:r w:rsidR="00167C8F">
        <w:t>-</w:t>
      </w:r>
      <w:r>
        <w:t xml:space="preserve">blokerów. Czas trwania leczenia zachowawczego określa się na 6-12 miesięcy, do czasu uzyskania samodzielnej pozycji siedzącej po jedzeniu. Brak poprawy po leczeniu zachowawczym lub brak akceptacji z uwagi na uciążliwość terapii jest wskazaniem do leczenia operacyjnego. Uważa się, że około 20% dzieci po operacyjnym leczeniu zarośnięcia przełyku będzie wymagało </w:t>
      </w:r>
      <w:proofErr w:type="spellStart"/>
      <w:r>
        <w:t>fundoplikacji</w:t>
      </w:r>
      <w:proofErr w:type="spellEnd"/>
      <w:r>
        <w:t>. Leczenie operacyjne odpływu u tych pacjentów wiąże się z wyższym odsetkiem niepowodzeń i konieczności reoperacji.</w:t>
      </w:r>
    </w:p>
    <w:p w14:paraId="0B3A36F2" w14:textId="77777777" w:rsidR="00A7178D" w:rsidRDefault="00A7178D" w:rsidP="00A7178D">
      <w:pPr>
        <w:jc w:val="both"/>
      </w:pPr>
    </w:p>
    <w:p w14:paraId="20928C72" w14:textId="3122A2DE" w:rsidR="009B1A1C" w:rsidRPr="009B1A1C" w:rsidRDefault="009B1A1C" w:rsidP="00A7178D">
      <w:pPr>
        <w:jc w:val="both"/>
        <w:rPr>
          <w:color w:val="FF0000"/>
        </w:rPr>
      </w:pPr>
      <w:r w:rsidRPr="009B1A1C">
        <w:rPr>
          <w:color w:val="FF0000"/>
        </w:rPr>
        <w:t xml:space="preserve">Wyniki leczenia: </w:t>
      </w:r>
    </w:p>
    <w:p w14:paraId="00583842" w14:textId="449836AB" w:rsidR="00A7178D" w:rsidRDefault="00A7178D" w:rsidP="00A7178D">
      <w:pPr>
        <w:contextualSpacing/>
        <w:jc w:val="both"/>
      </w:pPr>
      <w:r>
        <w:t>Wynik leczenia w zarośnięciu przełyku najbardziej determinuje przeżycie, ale także nie mniej istotne są długoterminowe następstwa</w:t>
      </w:r>
      <w:r w:rsidR="006D29AD">
        <w:t>,</w:t>
      </w:r>
      <w:r>
        <w:t xml:space="preserve"> takie jak czynność przełyku oraz towarzyszące schorzenia. Badania retrospektywne wskazują, że w rozwiniętych krajach przeżywalność dzieci z zarośnięciem przełyku osiągnęła w latach 80-tych poziom około 95% i nie zmienia się od tego czasu. Analiza bazy danych KID w USA za lata 1997-2009 wykazała śmiertelność średnio około 9%, w ostatnich 4 latach analizowanego okresu 7%.  U noworodków urodzonych o czasie bez towarzyszących innych wad rozwojowych oczekuje się niemalże 100% przeżycia. Głównymi czynnikami ryzyka pozostają masa urodzeniowa poniżej 1500g, wiek ciążowy poniżej 28 tygodnia, złożone wady serca oraz zabieg wykonany w pierwszych 24 godzinach życia jako odzwierciedlenie pilności zabiegu z uwagi na stan noworodka. Uważa się, że izolowane zarośnięcie przełyku ma lepszą prognozę od postaci nieizolowanych. Podobnie typ I postaci </w:t>
      </w:r>
      <w:r>
        <w:lastRenderedPageBreak/>
        <w:t xml:space="preserve">wady ma gorszą prognozę w porównaniu do typu III, częściej występują powikłania odległe.  Odległe następstwa zarośnięcia przełyku są dobrze znane i w wielu przypadkach wymagają wielospecjalistycznego podejścia.  Jakość życia u dorosłych pacjentów po operacji zarośnięcia przełyku nie odbiega w sposób istotny od średniej dla populacji zdrowych w odniesieniu do zdrowia fizycznego i umysłowego. Około 15% może mieć problemy będące następstwem wady i przebytego leczenia operacyjnego. Ryzyko wzrasta u pacjentów z postacią </w:t>
      </w:r>
      <w:proofErr w:type="spellStart"/>
      <w:r>
        <w:t>długoodcinkową</w:t>
      </w:r>
      <w:proofErr w:type="spellEnd"/>
      <w:r>
        <w:t xml:space="preserve"> oraz powikłanym leczeniem operacyjnym. Jakość życia warunkują także wady towarzyszące, czasami w sposób bardziej istotny niż zarośnięcie przełyku.</w:t>
      </w:r>
    </w:p>
    <w:p w14:paraId="0E241E7D" w14:textId="77777777" w:rsidR="00A7178D" w:rsidRDefault="00A7178D" w:rsidP="00A7178D">
      <w:pPr>
        <w:contextualSpacing/>
        <w:jc w:val="both"/>
      </w:pPr>
    </w:p>
    <w:p w14:paraId="171747BD" w14:textId="77777777" w:rsidR="00A7178D" w:rsidRDefault="00A7178D" w:rsidP="00A7178D">
      <w:pPr>
        <w:contextualSpacing/>
        <w:jc w:val="both"/>
      </w:pPr>
    </w:p>
    <w:p w14:paraId="1AB2617A" w14:textId="7B6ED37A" w:rsidR="00A7178D" w:rsidRDefault="00A7178D" w:rsidP="00A7178D">
      <w:pPr>
        <w:contextualSpacing/>
        <w:jc w:val="both"/>
        <w:rPr>
          <w:b/>
        </w:rPr>
      </w:pPr>
      <w:r w:rsidRPr="00A7178D">
        <w:rPr>
          <w:b/>
        </w:rPr>
        <w:t>Wrodzone zarośniecie przełyku w materiale Kliniki Chirurgii i Urologii Dziecięcej we Wrocławiu</w:t>
      </w:r>
      <w:r w:rsidR="007B3282">
        <w:rPr>
          <w:b/>
        </w:rPr>
        <w:t>:</w:t>
      </w:r>
    </w:p>
    <w:p w14:paraId="5F026F25" w14:textId="7D721E56" w:rsidR="007B3282" w:rsidRDefault="007B3282" w:rsidP="007B3282">
      <w:pPr>
        <w:contextualSpacing/>
      </w:pPr>
      <w:r>
        <w:t xml:space="preserve">Pierwszy zabieg wrodzonego zarośnięcia przełyku wykonany metodą torakoskopową w Polsce odbył się dnia 18.08.2005 roku we Wrocławiu i został przeprowadzony przez prof. Dariusza Patkowskiego. </w:t>
      </w:r>
      <w:r w:rsidR="009B1A1C">
        <w:t>Od tego czasu w Klinice zoperowano</w:t>
      </w:r>
      <w:r w:rsidR="007D1FB4">
        <w:t xml:space="preserve"> 136 noworodków z tą wadą, a kolejne 55 zespół zoperował w innych miastach Polski oraz na całym świecie. </w:t>
      </w:r>
      <w:r>
        <w:t>Dane dotyczące leczenia chirurgicznego w Klinice Chirurgii i Urologii Dziecięcej Uniwersytetu Medycznego im. Piastów Śląskich we Wrocławiu do chwili obecnej znajdują się w poniższych tabelach:</w:t>
      </w:r>
    </w:p>
    <w:p w14:paraId="3A694354" w14:textId="77777777" w:rsidR="007B3282" w:rsidRDefault="007B3282" w:rsidP="007B3282">
      <w:pPr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1"/>
        <w:gridCol w:w="5195"/>
      </w:tblGrid>
      <w:tr w:rsidR="00145127" w14:paraId="2EB8E7CA" w14:textId="77777777" w:rsidTr="003A7648">
        <w:tc>
          <w:tcPr>
            <w:tcW w:w="3861" w:type="dxa"/>
          </w:tcPr>
          <w:p w14:paraId="46CA3FDC" w14:textId="3FADDB83" w:rsidR="007B3282" w:rsidRDefault="007B3282" w:rsidP="007B3282">
            <w:pPr>
              <w:contextualSpacing/>
            </w:pPr>
            <w:r>
              <w:t>Masa ciała</w:t>
            </w:r>
          </w:p>
        </w:tc>
        <w:tc>
          <w:tcPr>
            <w:tcW w:w="5195" w:type="dxa"/>
          </w:tcPr>
          <w:p w14:paraId="5800B8A8" w14:textId="6538215F" w:rsidR="007B3282" w:rsidRDefault="00145127" w:rsidP="007B3282">
            <w:pPr>
              <w:contextualSpacing/>
            </w:pPr>
            <w:r>
              <w:t>Średnia: 2397 g (min. 900g, max. 4700g)</w:t>
            </w:r>
          </w:p>
        </w:tc>
      </w:tr>
      <w:tr w:rsidR="00145127" w14:paraId="5C2E1615" w14:textId="77777777" w:rsidTr="003A7648">
        <w:tc>
          <w:tcPr>
            <w:tcW w:w="3861" w:type="dxa"/>
          </w:tcPr>
          <w:p w14:paraId="06A0F34C" w14:textId="28250B79" w:rsidR="007B3282" w:rsidRDefault="007B3282" w:rsidP="007B3282">
            <w:pPr>
              <w:contextualSpacing/>
            </w:pPr>
            <w:r>
              <w:t>Czas operacji</w:t>
            </w:r>
          </w:p>
        </w:tc>
        <w:tc>
          <w:tcPr>
            <w:tcW w:w="5195" w:type="dxa"/>
          </w:tcPr>
          <w:p w14:paraId="67A265F3" w14:textId="0801D0B6" w:rsidR="007B3282" w:rsidRDefault="00145127" w:rsidP="007B3282">
            <w:pPr>
              <w:contextualSpacing/>
            </w:pPr>
            <w:r>
              <w:t>Średnia: 1 godz. 47 min (min. 55 min, max. 4 godz</w:t>
            </w:r>
            <w:r w:rsidR="003A7648">
              <w:t>.</w:t>
            </w:r>
            <w:r>
              <w:t xml:space="preserve"> 05 min)</w:t>
            </w:r>
          </w:p>
        </w:tc>
      </w:tr>
      <w:tr w:rsidR="00145127" w14:paraId="25764E7B" w14:textId="77777777" w:rsidTr="003A7648">
        <w:tc>
          <w:tcPr>
            <w:tcW w:w="3861" w:type="dxa"/>
          </w:tcPr>
          <w:p w14:paraId="6F1218AA" w14:textId="7CB06E1E" w:rsidR="007B3282" w:rsidRDefault="007B3282" w:rsidP="007B3282">
            <w:pPr>
              <w:contextualSpacing/>
            </w:pPr>
            <w:r>
              <w:t>Ilość konwersji do zabiegu otwartego</w:t>
            </w:r>
          </w:p>
        </w:tc>
        <w:tc>
          <w:tcPr>
            <w:tcW w:w="5195" w:type="dxa"/>
          </w:tcPr>
          <w:p w14:paraId="24492753" w14:textId="523F8E9A" w:rsidR="007B3282" w:rsidRDefault="00145127" w:rsidP="007B3282">
            <w:pPr>
              <w:contextualSpacing/>
            </w:pPr>
            <w:r>
              <w:t>0</w:t>
            </w:r>
          </w:p>
        </w:tc>
      </w:tr>
      <w:tr w:rsidR="00145127" w14:paraId="5304EC57" w14:textId="77777777" w:rsidTr="003A7648">
        <w:tc>
          <w:tcPr>
            <w:tcW w:w="3861" w:type="dxa"/>
          </w:tcPr>
          <w:p w14:paraId="46AD886B" w14:textId="6E5B08BB" w:rsidR="007B3282" w:rsidRDefault="00145127" w:rsidP="007B3282">
            <w:pPr>
              <w:contextualSpacing/>
            </w:pPr>
            <w:r>
              <w:t>Nieszczelność zespolenia</w:t>
            </w:r>
          </w:p>
        </w:tc>
        <w:tc>
          <w:tcPr>
            <w:tcW w:w="5195" w:type="dxa"/>
          </w:tcPr>
          <w:p w14:paraId="0A575282" w14:textId="7D10275E" w:rsidR="007B3282" w:rsidRDefault="00CE0489" w:rsidP="007B3282">
            <w:pPr>
              <w:contextualSpacing/>
            </w:pPr>
            <w:r>
              <w:t>5</w:t>
            </w:r>
            <w:r w:rsidR="00571A83">
              <w:t>/</w:t>
            </w:r>
            <w:r w:rsidR="007D1FB4">
              <w:t>131</w:t>
            </w:r>
            <w:r>
              <w:t xml:space="preserve"> (3,8</w:t>
            </w:r>
            <w:r w:rsidR="00145127">
              <w:t>%)</w:t>
            </w:r>
          </w:p>
        </w:tc>
      </w:tr>
      <w:tr w:rsidR="00145127" w14:paraId="23BF05A9" w14:textId="77777777" w:rsidTr="003A7648">
        <w:tc>
          <w:tcPr>
            <w:tcW w:w="3861" w:type="dxa"/>
          </w:tcPr>
          <w:p w14:paraId="7EEB9866" w14:textId="54ACAF42" w:rsidR="007B3282" w:rsidRDefault="00145127" w:rsidP="007B3282">
            <w:pPr>
              <w:contextualSpacing/>
            </w:pPr>
            <w:r>
              <w:t>Zwężenia</w:t>
            </w:r>
          </w:p>
        </w:tc>
        <w:tc>
          <w:tcPr>
            <w:tcW w:w="5195" w:type="dxa"/>
          </w:tcPr>
          <w:p w14:paraId="2F42763E" w14:textId="5DCB2C51" w:rsidR="007B3282" w:rsidRDefault="00E059ED" w:rsidP="007B3282">
            <w:pPr>
              <w:contextualSpacing/>
            </w:pPr>
            <w:r>
              <w:t>24</w:t>
            </w:r>
            <w:r w:rsidR="00571A83">
              <w:t>/</w:t>
            </w:r>
            <w:r>
              <w:t>131 (18,3</w:t>
            </w:r>
            <w:r w:rsidR="00145127">
              <w:t>%)</w:t>
            </w:r>
          </w:p>
        </w:tc>
      </w:tr>
      <w:tr w:rsidR="00145127" w14:paraId="2285B86A" w14:textId="77777777" w:rsidTr="003A7648">
        <w:tc>
          <w:tcPr>
            <w:tcW w:w="3861" w:type="dxa"/>
          </w:tcPr>
          <w:p w14:paraId="5BF3788E" w14:textId="77777777" w:rsidR="003A7648" w:rsidRDefault="00145127" w:rsidP="007B3282">
            <w:pPr>
              <w:contextualSpacing/>
            </w:pPr>
            <w:r>
              <w:t>Nawrót przetoki</w:t>
            </w:r>
          </w:p>
          <w:p w14:paraId="7248F5C4" w14:textId="24DA0B62" w:rsidR="007B3282" w:rsidRDefault="00145127" w:rsidP="007B3282">
            <w:pPr>
              <w:contextualSpacing/>
            </w:pPr>
            <w:r>
              <w:t>przełykowo-</w:t>
            </w:r>
            <w:proofErr w:type="spellStart"/>
            <w:r>
              <w:t>tchawiczej</w:t>
            </w:r>
            <w:proofErr w:type="spellEnd"/>
          </w:p>
        </w:tc>
        <w:tc>
          <w:tcPr>
            <w:tcW w:w="5195" w:type="dxa"/>
          </w:tcPr>
          <w:p w14:paraId="74094414" w14:textId="6D2A9F53" w:rsidR="007B3282" w:rsidRDefault="00571A83" w:rsidP="007B3282">
            <w:pPr>
              <w:contextualSpacing/>
            </w:pPr>
            <w:r>
              <w:t>2/</w:t>
            </w:r>
            <w:r w:rsidR="00E059ED">
              <w:t>131 (1,52</w:t>
            </w:r>
            <w:r w:rsidR="00145127">
              <w:t>%)</w:t>
            </w:r>
          </w:p>
        </w:tc>
      </w:tr>
      <w:tr w:rsidR="00145127" w14:paraId="4ADA9438" w14:textId="77777777" w:rsidTr="003A7648">
        <w:tc>
          <w:tcPr>
            <w:tcW w:w="3861" w:type="dxa"/>
          </w:tcPr>
          <w:p w14:paraId="7F008BCD" w14:textId="56701643" w:rsidR="007B3282" w:rsidRDefault="00145127" w:rsidP="007B3282">
            <w:pPr>
              <w:contextualSpacing/>
            </w:pPr>
            <w:r>
              <w:t xml:space="preserve">Zgon </w:t>
            </w:r>
            <w:r w:rsidR="00E059ED">
              <w:t>(w wyniku towarzyszących wad wrodzonych)</w:t>
            </w:r>
          </w:p>
        </w:tc>
        <w:tc>
          <w:tcPr>
            <w:tcW w:w="5195" w:type="dxa"/>
          </w:tcPr>
          <w:p w14:paraId="53003ABF" w14:textId="32DD5FD9" w:rsidR="007B3282" w:rsidRDefault="00E059ED" w:rsidP="007B3282">
            <w:pPr>
              <w:contextualSpacing/>
            </w:pPr>
            <w:r>
              <w:t>5/136 (3,6</w:t>
            </w:r>
            <w:r w:rsidR="00145127">
              <w:t>%)</w:t>
            </w:r>
          </w:p>
        </w:tc>
      </w:tr>
    </w:tbl>
    <w:p w14:paraId="1D542AEF" w14:textId="2664C424" w:rsidR="007B3282" w:rsidRDefault="00145127" w:rsidP="007B3282">
      <w:pPr>
        <w:contextualSpacing/>
      </w:pPr>
      <w:r>
        <w:t>Ryc. 6. Wyniki leczenia pacjentów z typem III i IV wrodzonego zarośnięcia przełyku w Klinice Chirurgii i Urologii Dziecięcej Uniwersytetu Medycznego we Wrocławiu</w:t>
      </w:r>
      <w:r w:rsidR="003A7648">
        <w:t xml:space="preserve"> </w:t>
      </w:r>
      <w:r>
        <w:t>- zabiegi wykonywane techniką torakoskopową</w:t>
      </w:r>
    </w:p>
    <w:p w14:paraId="67694120" w14:textId="77777777" w:rsidR="00145127" w:rsidRDefault="00145127" w:rsidP="007B3282">
      <w:pPr>
        <w:contextualSpacing/>
      </w:pPr>
    </w:p>
    <w:p w14:paraId="4BF443BD" w14:textId="6A77C2D2" w:rsidR="00145127" w:rsidRDefault="00145127" w:rsidP="007B3282">
      <w:pPr>
        <w:contextualSpacing/>
      </w:pPr>
      <w:r>
        <w:t>W przypadku długoodcinkowej postaci wrodzonego zarośnięcia przełyku w Klinice Chirurgii i Urologii Dziecięcej Uniwersytetu Medycznego we Wrocławiu wykonuje się zabiegi z wykorzystaniem trakcji wewnętrznej (tzw. „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>”)</w:t>
      </w:r>
      <w:r w:rsidR="003A7648">
        <w:t xml:space="preserve"> </w:t>
      </w:r>
      <w:r w:rsidR="00957BAD">
        <w:t>- w zależności od odległości miedzy zrośniętymi odcinkami przełyku pacjenci mogą wymagać wieloetapowego leczenia</w:t>
      </w:r>
      <w:r w:rsidR="003A7648">
        <w:t>.</w:t>
      </w:r>
    </w:p>
    <w:p w14:paraId="7683E029" w14:textId="77777777" w:rsidR="00145127" w:rsidRDefault="00145127" w:rsidP="007B3282">
      <w:pPr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1"/>
        <w:gridCol w:w="5195"/>
      </w:tblGrid>
      <w:tr w:rsidR="00145127" w14:paraId="5CD8EC42" w14:textId="77777777" w:rsidTr="00145127">
        <w:tc>
          <w:tcPr>
            <w:tcW w:w="3861" w:type="dxa"/>
          </w:tcPr>
          <w:p w14:paraId="4D473EDE" w14:textId="1BCA8FEB" w:rsidR="00145127" w:rsidRDefault="00571A83" w:rsidP="007B3282">
            <w:pPr>
              <w:contextualSpacing/>
            </w:pPr>
            <w:r>
              <w:t>Ilość etapów</w:t>
            </w:r>
          </w:p>
        </w:tc>
        <w:tc>
          <w:tcPr>
            <w:tcW w:w="5195" w:type="dxa"/>
          </w:tcPr>
          <w:p w14:paraId="4143B08D" w14:textId="653DA444" w:rsidR="00145127" w:rsidRDefault="00571A83" w:rsidP="007B3282">
            <w:pPr>
              <w:contextualSpacing/>
            </w:pPr>
            <w:r>
              <w:t>Ilość pacjentów</w:t>
            </w:r>
          </w:p>
        </w:tc>
      </w:tr>
      <w:tr w:rsidR="00145127" w14:paraId="51035628" w14:textId="77777777" w:rsidTr="00145127">
        <w:tc>
          <w:tcPr>
            <w:tcW w:w="3861" w:type="dxa"/>
          </w:tcPr>
          <w:p w14:paraId="08EC946B" w14:textId="08D3B121" w:rsidR="00145127" w:rsidRDefault="00571A83" w:rsidP="007B3282">
            <w:pPr>
              <w:contextualSpacing/>
            </w:pPr>
            <w:r>
              <w:t>2</w:t>
            </w:r>
          </w:p>
        </w:tc>
        <w:tc>
          <w:tcPr>
            <w:tcW w:w="5195" w:type="dxa"/>
          </w:tcPr>
          <w:p w14:paraId="77068AAF" w14:textId="3DE048C0" w:rsidR="00145127" w:rsidRDefault="00571A83" w:rsidP="007B3282">
            <w:pPr>
              <w:contextualSpacing/>
            </w:pPr>
            <w:r>
              <w:t>10/19 (52%)</w:t>
            </w:r>
          </w:p>
        </w:tc>
      </w:tr>
      <w:tr w:rsidR="00145127" w14:paraId="0C9AFF48" w14:textId="77777777" w:rsidTr="00145127">
        <w:tc>
          <w:tcPr>
            <w:tcW w:w="3861" w:type="dxa"/>
          </w:tcPr>
          <w:p w14:paraId="080D1CAB" w14:textId="3C3EEC18" w:rsidR="00145127" w:rsidRDefault="00571A83" w:rsidP="007B3282">
            <w:pPr>
              <w:contextualSpacing/>
            </w:pPr>
            <w:r>
              <w:t>3</w:t>
            </w:r>
          </w:p>
        </w:tc>
        <w:tc>
          <w:tcPr>
            <w:tcW w:w="5195" w:type="dxa"/>
          </w:tcPr>
          <w:p w14:paraId="7A118151" w14:textId="6053C2F1" w:rsidR="00145127" w:rsidRDefault="00571A83" w:rsidP="007B3282">
            <w:pPr>
              <w:contextualSpacing/>
            </w:pPr>
            <w:r>
              <w:t>4/19 (21,05%)</w:t>
            </w:r>
          </w:p>
        </w:tc>
      </w:tr>
      <w:tr w:rsidR="00145127" w14:paraId="714DCCFC" w14:textId="77777777" w:rsidTr="00145127">
        <w:tc>
          <w:tcPr>
            <w:tcW w:w="3861" w:type="dxa"/>
          </w:tcPr>
          <w:p w14:paraId="31403490" w14:textId="54F43BE5" w:rsidR="00145127" w:rsidRDefault="00571A83" w:rsidP="007B3282">
            <w:pPr>
              <w:contextualSpacing/>
            </w:pPr>
            <w:r>
              <w:t>4</w:t>
            </w:r>
          </w:p>
        </w:tc>
        <w:tc>
          <w:tcPr>
            <w:tcW w:w="5195" w:type="dxa"/>
          </w:tcPr>
          <w:p w14:paraId="072D5620" w14:textId="39286011" w:rsidR="00145127" w:rsidRDefault="00571A83" w:rsidP="007B3282">
            <w:pPr>
              <w:contextualSpacing/>
            </w:pPr>
            <w:r>
              <w:t>1 (5,27%)</w:t>
            </w:r>
          </w:p>
        </w:tc>
      </w:tr>
      <w:tr w:rsidR="00145127" w14:paraId="181467D7" w14:textId="77777777" w:rsidTr="00145127">
        <w:tc>
          <w:tcPr>
            <w:tcW w:w="3861" w:type="dxa"/>
          </w:tcPr>
          <w:p w14:paraId="50BDC4B3" w14:textId="38AA9E9A" w:rsidR="00145127" w:rsidRDefault="00571A83" w:rsidP="007B3282">
            <w:pPr>
              <w:contextualSpacing/>
            </w:pPr>
            <w:r>
              <w:t>5</w:t>
            </w:r>
          </w:p>
        </w:tc>
        <w:tc>
          <w:tcPr>
            <w:tcW w:w="5195" w:type="dxa"/>
          </w:tcPr>
          <w:p w14:paraId="1B2FE943" w14:textId="64CBB0DC" w:rsidR="00145127" w:rsidRDefault="00571A83" w:rsidP="007B3282">
            <w:pPr>
              <w:contextualSpacing/>
            </w:pPr>
            <w:r>
              <w:t>1 (5,27%)</w:t>
            </w:r>
          </w:p>
        </w:tc>
      </w:tr>
      <w:tr w:rsidR="00145127" w14:paraId="57026F44" w14:textId="77777777" w:rsidTr="00145127">
        <w:tc>
          <w:tcPr>
            <w:tcW w:w="3861" w:type="dxa"/>
          </w:tcPr>
          <w:p w14:paraId="61E054EE" w14:textId="04934EB1" w:rsidR="00145127" w:rsidRDefault="00571A83" w:rsidP="007B3282">
            <w:pPr>
              <w:contextualSpacing/>
            </w:pPr>
            <w:r>
              <w:t>6</w:t>
            </w:r>
          </w:p>
        </w:tc>
        <w:tc>
          <w:tcPr>
            <w:tcW w:w="5195" w:type="dxa"/>
          </w:tcPr>
          <w:p w14:paraId="762726A5" w14:textId="1E6124CE" w:rsidR="00145127" w:rsidRDefault="00571A83" w:rsidP="007B3282">
            <w:pPr>
              <w:contextualSpacing/>
            </w:pPr>
            <w:r>
              <w:t>1 (5,27%)</w:t>
            </w:r>
          </w:p>
        </w:tc>
      </w:tr>
      <w:tr w:rsidR="00145127" w14:paraId="1D6432E6" w14:textId="77777777" w:rsidTr="00145127">
        <w:tc>
          <w:tcPr>
            <w:tcW w:w="3861" w:type="dxa"/>
          </w:tcPr>
          <w:p w14:paraId="13737021" w14:textId="6EAEBF03" w:rsidR="00145127" w:rsidRDefault="00571A83" w:rsidP="007B3282">
            <w:pPr>
              <w:contextualSpacing/>
            </w:pPr>
            <w:r>
              <w:t>Zgon</w:t>
            </w:r>
            <w:r w:rsidR="00E059ED">
              <w:t xml:space="preserve"> (w wyniku towarzyszących wad wrodzonych)</w:t>
            </w:r>
          </w:p>
        </w:tc>
        <w:tc>
          <w:tcPr>
            <w:tcW w:w="5195" w:type="dxa"/>
          </w:tcPr>
          <w:p w14:paraId="4EA14F18" w14:textId="20BA1916" w:rsidR="00145127" w:rsidRDefault="00571A83" w:rsidP="007B3282">
            <w:pPr>
              <w:contextualSpacing/>
            </w:pPr>
            <w:r>
              <w:t>1 (5,27%)</w:t>
            </w:r>
          </w:p>
        </w:tc>
      </w:tr>
      <w:tr w:rsidR="00145127" w14:paraId="1A66737D" w14:textId="77777777" w:rsidTr="00145127">
        <w:tc>
          <w:tcPr>
            <w:tcW w:w="3861" w:type="dxa"/>
          </w:tcPr>
          <w:p w14:paraId="2801599A" w14:textId="559485DD" w:rsidR="00145127" w:rsidRDefault="00571A83" w:rsidP="007B3282">
            <w:pPr>
              <w:contextualSpacing/>
            </w:pPr>
            <w:r>
              <w:t>Konwersja do zabiegu otwartego</w:t>
            </w:r>
          </w:p>
        </w:tc>
        <w:tc>
          <w:tcPr>
            <w:tcW w:w="5195" w:type="dxa"/>
          </w:tcPr>
          <w:p w14:paraId="56D73DB0" w14:textId="754CDCA8" w:rsidR="00145127" w:rsidRDefault="00571A83" w:rsidP="007B3282">
            <w:pPr>
              <w:contextualSpacing/>
            </w:pPr>
            <w:r>
              <w:t>1 (5,27%)</w:t>
            </w:r>
          </w:p>
        </w:tc>
      </w:tr>
    </w:tbl>
    <w:p w14:paraId="78988186" w14:textId="77777777" w:rsidR="00196A86" w:rsidRDefault="00196A86" w:rsidP="003A7648">
      <w:pPr>
        <w:jc w:val="both"/>
      </w:pPr>
    </w:p>
    <w:sectPr w:rsidR="00196A86" w:rsidSect="006244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DD8"/>
    <w:multiLevelType w:val="hybridMultilevel"/>
    <w:tmpl w:val="3CF8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4AE6"/>
    <w:multiLevelType w:val="hybridMultilevel"/>
    <w:tmpl w:val="2B72299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663280F"/>
    <w:multiLevelType w:val="hybridMultilevel"/>
    <w:tmpl w:val="22D6F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69A"/>
    <w:multiLevelType w:val="hybridMultilevel"/>
    <w:tmpl w:val="F2486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C08C7"/>
    <w:multiLevelType w:val="hybridMultilevel"/>
    <w:tmpl w:val="DDFA6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3E"/>
    <w:rsid w:val="000C7DB2"/>
    <w:rsid w:val="00117431"/>
    <w:rsid w:val="00124203"/>
    <w:rsid w:val="00141B27"/>
    <w:rsid w:val="00145127"/>
    <w:rsid w:val="00150D2D"/>
    <w:rsid w:val="0016461D"/>
    <w:rsid w:val="00167C8F"/>
    <w:rsid w:val="0017409D"/>
    <w:rsid w:val="00196A86"/>
    <w:rsid w:val="001B30F6"/>
    <w:rsid w:val="001F1FF9"/>
    <w:rsid w:val="00206449"/>
    <w:rsid w:val="00281CAE"/>
    <w:rsid w:val="00296852"/>
    <w:rsid w:val="002B6177"/>
    <w:rsid w:val="002C313E"/>
    <w:rsid w:val="002C5E81"/>
    <w:rsid w:val="00306FC4"/>
    <w:rsid w:val="003A7648"/>
    <w:rsid w:val="003C1DF7"/>
    <w:rsid w:val="003E4CAC"/>
    <w:rsid w:val="00411477"/>
    <w:rsid w:val="004775E0"/>
    <w:rsid w:val="004C1636"/>
    <w:rsid w:val="004D23CE"/>
    <w:rsid w:val="004E69A3"/>
    <w:rsid w:val="004F1699"/>
    <w:rsid w:val="00525F4E"/>
    <w:rsid w:val="00571A83"/>
    <w:rsid w:val="005C1F05"/>
    <w:rsid w:val="005E1B6A"/>
    <w:rsid w:val="00601443"/>
    <w:rsid w:val="0062443B"/>
    <w:rsid w:val="00627588"/>
    <w:rsid w:val="0063729B"/>
    <w:rsid w:val="0067131A"/>
    <w:rsid w:val="0068615C"/>
    <w:rsid w:val="006875EF"/>
    <w:rsid w:val="006D29AD"/>
    <w:rsid w:val="00746D36"/>
    <w:rsid w:val="007833E6"/>
    <w:rsid w:val="007B3282"/>
    <w:rsid w:val="007D1FB4"/>
    <w:rsid w:val="00895E79"/>
    <w:rsid w:val="008B4486"/>
    <w:rsid w:val="008E5D73"/>
    <w:rsid w:val="008F10AF"/>
    <w:rsid w:val="00957BAD"/>
    <w:rsid w:val="0097016E"/>
    <w:rsid w:val="009B1A1C"/>
    <w:rsid w:val="009E21BA"/>
    <w:rsid w:val="00A17E3D"/>
    <w:rsid w:val="00A7178D"/>
    <w:rsid w:val="00A96C06"/>
    <w:rsid w:val="00B15FDC"/>
    <w:rsid w:val="00B70AB3"/>
    <w:rsid w:val="00B856BF"/>
    <w:rsid w:val="00B90CB3"/>
    <w:rsid w:val="00BB0485"/>
    <w:rsid w:val="00BD31D3"/>
    <w:rsid w:val="00BE001E"/>
    <w:rsid w:val="00BE3B17"/>
    <w:rsid w:val="00C337E8"/>
    <w:rsid w:val="00C868C6"/>
    <w:rsid w:val="00CE0489"/>
    <w:rsid w:val="00D1472B"/>
    <w:rsid w:val="00D14D5F"/>
    <w:rsid w:val="00D6371D"/>
    <w:rsid w:val="00DE3032"/>
    <w:rsid w:val="00E059ED"/>
    <w:rsid w:val="00E07E3E"/>
    <w:rsid w:val="00E3268A"/>
    <w:rsid w:val="00EA6355"/>
    <w:rsid w:val="00EC0988"/>
    <w:rsid w:val="00EF1CE6"/>
    <w:rsid w:val="00F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B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048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E21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1CA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C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C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CA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A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2395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gerus</dc:creator>
  <cp:keywords/>
  <dc:description/>
  <cp:lastModifiedBy>K T</cp:lastModifiedBy>
  <cp:revision>29</cp:revision>
  <dcterms:created xsi:type="dcterms:W3CDTF">2019-11-16T16:52:00Z</dcterms:created>
  <dcterms:modified xsi:type="dcterms:W3CDTF">2019-11-22T08:29:00Z</dcterms:modified>
</cp:coreProperties>
</file>